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A57AC" w14:textId="7E30A293" w:rsidR="007E2A80" w:rsidRPr="003822FE" w:rsidRDefault="007E2A80" w:rsidP="00024B44">
      <w:pPr>
        <w:widowControl w:val="0"/>
        <w:spacing w:after="120"/>
        <w:rPr>
          <w:b/>
        </w:rPr>
      </w:pPr>
      <w:bookmarkStart w:id="0" w:name="_GoBack"/>
      <w:bookmarkEnd w:id="0"/>
      <w:r w:rsidRPr="00C67EC0">
        <w:rPr>
          <w:b/>
          <w:u w:val="single"/>
        </w:rPr>
        <w:t>STATE GOAL</w:t>
      </w:r>
    </w:p>
    <w:p w14:paraId="44EE056E" w14:textId="77777777" w:rsidR="00AA67A4" w:rsidRPr="00AA67A4" w:rsidRDefault="00AA67A4" w:rsidP="00AA67A4">
      <w:pPr>
        <w:widowControl w:val="0"/>
        <w:spacing w:after="120"/>
        <w:rPr>
          <w:i/>
        </w:rPr>
      </w:pPr>
      <w:r w:rsidRPr="00AA67A4">
        <w:rPr>
          <w:i/>
        </w:rPr>
        <w:t>Maine strives to:</w:t>
      </w:r>
    </w:p>
    <w:p w14:paraId="39C8A1E6" w14:textId="77777777" w:rsidR="001D5457" w:rsidRDefault="001D5457" w:rsidP="00AA67A4">
      <w:pPr>
        <w:widowControl w:val="0"/>
        <w:spacing w:after="120"/>
        <w:rPr>
          <w:i/>
        </w:rPr>
      </w:pPr>
      <w:r w:rsidRPr="001D5457">
        <w:rPr>
          <w:i/>
        </w:rPr>
        <w:t xml:space="preserve">There is no state goal </w:t>
      </w:r>
      <w:r>
        <w:rPr>
          <w:i/>
        </w:rPr>
        <w:t>specifically addressing</w:t>
      </w:r>
      <w:r w:rsidRPr="001D5457">
        <w:rPr>
          <w:i/>
        </w:rPr>
        <w:t xml:space="preserve"> population. </w:t>
      </w:r>
      <w:r>
        <w:rPr>
          <w:i/>
        </w:rPr>
        <w:t xml:space="preserve"> </w:t>
      </w:r>
      <w:r w:rsidRPr="001D5457">
        <w:rPr>
          <w:i/>
        </w:rPr>
        <w:t>However, all the other goals depend on an understanding of the population and demographic data for Clifton and the region.</w:t>
      </w:r>
    </w:p>
    <w:p w14:paraId="49789290" w14:textId="3215BC18" w:rsidR="001D5457" w:rsidRPr="00EB5A40" w:rsidRDefault="001D5457" w:rsidP="00AA67A4">
      <w:pPr>
        <w:widowControl w:val="0"/>
        <w:spacing w:after="120"/>
        <w:rPr>
          <w:b/>
          <w:u w:val="single"/>
        </w:rPr>
      </w:pPr>
      <w:r w:rsidRPr="00EB5A40">
        <w:rPr>
          <w:b/>
          <w:u w:val="single"/>
        </w:rPr>
        <w:t>LOCAL GOAL</w:t>
      </w:r>
    </w:p>
    <w:p w14:paraId="319B68F1" w14:textId="5DC749DE" w:rsidR="001D5457" w:rsidRPr="001D5457" w:rsidRDefault="001D5457" w:rsidP="00AA67A4">
      <w:pPr>
        <w:widowControl w:val="0"/>
        <w:spacing w:after="120"/>
        <w:rPr>
          <w:i/>
        </w:rPr>
      </w:pPr>
      <w:r>
        <w:rPr>
          <w:i/>
        </w:rPr>
        <w:t xml:space="preserve">Clifton strives to maintain an accurate assessment of population demographics and to ensure local government remains proactive providing services and support when feasible and always advocacy services to </w:t>
      </w:r>
      <w:r w:rsidR="006D1EF1">
        <w:rPr>
          <w:i/>
        </w:rPr>
        <w:t xml:space="preserve">assist with support </w:t>
      </w:r>
      <w:r>
        <w:rPr>
          <w:i/>
        </w:rPr>
        <w:t>needs of demographics requiring greater assistance.</w:t>
      </w:r>
    </w:p>
    <w:p w14:paraId="6CFD3032" w14:textId="0F55B3F3" w:rsidR="007E2A80" w:rsidRPr="00737039" w:rsidRDefault="006D1EF1" w:rsidP="00024B44">
      <w:pPr>
        <w:widowControl w:val="0"/>
        <w:spacing w:after="120"/>
        <w:rPr>
          <w:b/>
        </w:rPr>
      </w:pPr>
      <w:r>
        <w:rPr>
          <w:b/>
          <w:u w:val="single"/>
        </w:rPr>
        <w:t xml:space="preserve">INTRODUCTION </w:t>
      </w:r>
    </w:p>
    <w:p w14:paraId="1663EEAF" w14:textId="615469AC" w:rsidR="00A07392" w:rsidRDefault="006D1EF1" w:rsidP="005C2AE0">
      <w:pPr>
        <w:widowControl w:val="0"/>
        <w:spacing w:after="120"/>
      </w:pPr>
      <w:r>
        <w:tab/>
        <w:t>Drafting</w:t>
      </w:r>
      <w:r w:rsidRPr="006D1EF1">
        <w:t xml:space="preserve"> and adopt</w:t>
      </w:r>
      <w:r>
        <w:t>ing</w:t>
      </w:r>
      <w:r w:rsidRPr="006D1EF1">
        <w:t xml:space="preserve"> a </w:t>
      </w:r>
      <w:r>
        <w:t xml:space="preserve">functioning </w:t>
      </w:r>
      <w:r w:rsidRPr="006D1EF1">
        <w:t xml:space="preserve">comprehensive plan </w:t>
      </w:r>
      <w:r>
        <w:t xml:space="preserve">performing </w:t>
      </w:r>
      <w:r w:rsidRPr="006D1EF1">
        <w:t xml:space="preserve">as a growth management rudder for the Town’s future course requires an understanding </w:t>
      </w:r>
      <w:r>
        <w:t xml:space="preserve">of Clifton’s population and </w:t>
      </w:r>
      <w:r w:rsidRPr="006D1EF1">
        <w:t xml:space="preserve">characteristics. </w:t>
      </w:r>
      <w:r>
        <w:t xml:space="preserve"> </w:t>
      </w:r>
      <w:r w:rsidRPr="006D1EF1">
        <w:t xml:space="preserve">Before attempting </w:t>
      </w:r>
      <w:r>
        <w:t>“</w:t>
      </w:r>
      <w:r w:rsidRPr="006D1EF1">
        <w:t>crystal ball</w:t>
      </w:r>
      <w:r>
        <w:t>”</w:t>
      </w:r>
      <w:r w:rsidRPr="006D1EF1">
        <w:t xml:space="preserve"> predictions, </w:t>
      </w:r>
      <w:r>
        <w:t xml:space="preserve">a </w:t>
      </w:r>
      <w:r w:rsidRPr="006D1EF1">
        <w:t xml:space="preserve">wise </w:t>
      </w:r>
      <w:r>
        <w:t xml:space="preserve">practice is </w:t>
      </w:r>
      <w:r w:rsidRPr="006D1EF1">
        <w:t xml:space="preserve">to look back at the history of Clifton’s population growth. </w:t>
      </w:r>
      <w:r>
        <w:t xml:space="preserve"> </w:t>
      </w:r>
      <w:r w:rsidRPr="006D1EF1">
        <w:t xml:space="preserve">An important goal of a comprehensive plan is to </w:t>
      </w:r>
      <w:r>
        <w:t>develop a</w:t>
      </w:r>
      <w:r w:rsidRPr="006D1EF1">
        <w:t xml:space="preserve"> productive relationship between the future population and important community resources. </w:t>
      </w:r>
      <w:r>
        <w:t xml:space="preserve"> </w:t>
      </w:r>
      <w:r w:rsidRPr="006D1EF1">
        <w:t xml:space="preserve">Accordingly, </w:t>
      </w:r>
      <w:r w:rsidR="00A07392">
        <w:t>t</w:t>
      </w:r>
      <w:r w:rsidRPr="006D1EF1">
        <w:t>he size and compo</w:t>
      </w:r>
      <w:r w:rsidR="00A07392">
        <w:t>sition of the Town's population strongly influences most phases of the Comprehensive Plan.</w:t>
      </w:r>
      <w:r w:rsidR="00721BA0">
        <w:t xml:space="preserve">  All charts and graphs in this section developed from US Census data from their website.</w:t>
      </w:r>
    </w:p>
    <w:p w14:paraId="40377C90" w14:textId="77777777" w:rsidR="00A07392" w:rsidRPr="00EB5A40" w:rsidRDefault="00A07392" w:rsidP="00A07392">
      <w:pPr>
        <w:widowControl w:val="0"/>
        <w:spacing w:after="120"/>
        <w:rPr>
          <w:b/>
          <w:u w:val="single"/>
        </w:rPr>
      </w:pPr>
      <w:r w:rsidRPr="00EB5A40">
        <w:rPr>
          <w:b/>
          <w:u w:val="single"/>
        </w:rPr>
        <w:t>TOTAL POPULATION AND RATES OF CHANGE</w:t>
      </w:r>
    </w:p>
    <w:p w14:paraId="14C2B5B6" w14:textId="49614A20" w:rsidR="00B0324C" w:rsidRDefault="00A07392">
      <w:pPr>
        <w:widowControl w:val="0"/>
        <w:spacing w:after="120"/>
      </w:pPr>
      <w:r>
        <w:tab/>
        <w:t>The first Census recorded for Clifton was in 1850. The table below shows the population for each Census year from 1850 to 2015 and the rate of change (Note: the 2015 population estimate comes from the U. S. Census Bureau’s 5-year population estimate system called the American Community Survey, or ACS).</w:t>
      </w:r>
    </w:p>
    <w:p w14:paraId="0CC1D379" w14:textId="7E66C937" w:rsidR="00B0324C" w:rsidRDefault="00B0324C" w:rsidP="00EB5A40">
      <w:pPr>
        <w:widowControl w:val="0"/>
        <w:spacing w:after="120"/>
        <w:ind w:left="1260"/>
      </w:pPr>
      <w:r>
        <w:rPr>
          <w:noProof/>
        </w:rPr>
        <w:drawing>
          <wp:inline distT="0" distB="0" distL="0" distR="0" wp14:anchorId="67ABFCD3" wp14:editId="140E22DF">
            <wp:extent cx="4343400" cy="2532185"/>
            <wp:effectExtent l="0" t="0" r="25400" b="3365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55493B" w14:textId="44E73500" w:rsidR="00735633" w:rsidRDefault="00C114D4" w:rsidP="00A07392">
      <w:pPr>
        <w:widowControl w:val="0"/>
        <w:spacing w:after="120"/>
      </w:pPr>
      <w:r>
        <w:tab/>
      </w:r>
      <w:r w:rsidRPr="00C114D4">
        <w:t xml:space="preserve">Mirroring the rural population of the whole country, Clifton’s population peaked between 1850 and 1880 and then declined steadily to 1930. </w:t>
      </w:r>
      <w:r>
        <w:t xml:space="preserve"> </w:t>
      </w:r>
      <w:r w:rsidRPr="00C114D4">
        <w:t xml:space="preserve">Following a modest increase in the 1930s, the conclusion of World War II and the baby boom nudged Clifton’s population growth </w:t>
      </w:r>
      <w:r w:rsidRPr="00C114D4">
        <w:lastRenderedPageBreak/>
        <w:t xml:space="preserve">up into double digits in the 1940s and 1950s. </w:t>
      </w:r>
      <w:r>
        <w:t xml:space="preserve"> </w:t>
      </w:r>
      <w:r w:rsidRPr="00C114D4">
        <w:t xml:space="preserve">After holding steady in the 1960s, Clifton experienced a dramatic 98.3% growth in the 1970s, from 233 to 462. </w:t>
      </w:r>
      <w:r>
        <w:t xml:space="preserve"> </w:t>
      </w:r>
    </w:p>
    <w:p w14:paraId="74E90F4C" w14:textId="2BFCCFB2" w:rsidR="00735633" w:rsidRDefault="00735633" w:rsidP="00EB5A40">
      <w:pPr>
        <w:widowControl w:val="0"/>
        <w:spacing w:after="120"/>
        <w:jc w:val="center"/>
      </w:pPr>
      <w:r>
        <w:rPr>
          <w:noProof/>
        </w:rPr>
        <w:drawing>
          <wp:inline distT="0" distB="0" distL="0" distR="0" wp14:anchorId="76B45738" wp14:editId="13269600">
            <wp:extent cx="5676900" cy="3733800"/>
            <wp:effectExtent l="0" t="0" r="0" b="0"/>
            <wp:docPr id="287" name="Chart 2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1EAE2C" w14:textId="2F04D5CB" w:rsidR="00735633" w:rsidRDefault="00735633" w:rsidP="00A07392">
      <w:pPr>
        <w:widowControl w:val="0"/>
        <w:spacing w:after="120"/>
      </w:pPr>
      <w:r>
        <w:tab/>
      </w:r>
      <w:r w:rsidR="00C114D4" w:rsidRPr="00C114D4">
        <w:t xml:space="preserve">Remember this was the back-to-the-earth era when the youth of Maine and the Nation sought to reconnect with America’s roots. </w:t>
      </w:r>
      <w:r w:rsidR="00C114D4">
        <w:t xml:space="preserve"> </w:t>
      </w:r>
      <w:r w:rsidR="00C114D4" w:rsidRPr="00C114D4">
        <w:t>Clifton is ideal to live off the land, unfettered by technology and bureaucracy. Not as meteoric, but still substantial, population growth for the Town was 31.4% in the 1980s (to 607), 22.4% in the 1990s, and 26.65% in the 2000s, reaching</w:t>
      </w:r>
      <w:r w:rsidR="006100CA">
        <w:t xml:space="preserve"> a peak of 921 in the year 2010. Currently, projected growth will </w:t>
      </w:r>
      <w:r w:rsidR="00C114D4" w:rsidRPr="00C114D4">
        <w:t xml:space="preserve">remain at 921 for 2019. </w:t>
      </w:r>
      <w:r w:rsidR="006100CA">
        <w:t xml:space="preserve"> </w:t>
      </w:r>
      <w:r w:rsidR="00C114D4" w:rsidRPr="00C114D4">
        <w:t>The most recent population estimate suggests a poss</w:t>
      </w:r>
      <w:r w:rsidR="006100CA">
        <w:t>ible downturn or stabilization - the 2020 Census will verify or reset the population basis.</w:t>
      </w:r>
    </w:p>
    <w:p w14:paraId="0E623A97" w14:textId="477FD3AE" w:rsidR="00735633" w:rsidRPr="00EB5A40" w:rsidRDefault="00C20FC8" w:rsidP="00735633">
      <w:pPr>
        <w:spacing w:before="240" w:after="120"/>
        <w:rPr>
          <w:b/>
          <w:i/>
        </w:rPr>
      </w:pPr>
      <w:r>
        <w:rPr>
          <w:b/>
          <w:i/>
        </w:rPr>
        <w:tab/>
      </w:r>
      <w:r w:rsidRPr="00EB5A40">
        <w:rPr>
          <w:b/>
          <w:i/>
        </w:rPr>
        <w:t>Population Historic Trend Comparisons</w:t>
      </w:r>
    </w:p>
    <w:p w14:paraId="4EA0EDB1" w14:textId="7D5C7DE1" w:rsidR="00807C5D" w:rsidRDefault="00735633" w:rsidP="00EB5A40">
      <w:pPr>
        <w:spacing w:after="120"/>
      </w:pPr>
      <w:r>
        <w:tab/>
        <w:t>As mentioned previously in the Plan, the Town of Clifton, although located in Penobscot County, is also very much tied to Hancock County.  Therefore Clifton’s characteristics will also be compared to those of Hancock County and neighboring communities of Amherst and Otis in Hancock County.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8"/>
        <w:gridCol w:w="1980"/>
        <w:gridCol w:w="2018"/>
      </w:tblGrid>
      <w:tr w:rsidR="00C114D4" w:rsidRPr="00C114D4" w14:paraId="4703AA75" w14:textId="77777777" w:rsidTr="00EB5A40">
        <w:trPr>
          <w:trHeight w:val="257"/>
          <w:tblHeader/>
          <w:jc w:val="center"/>
        </w:trPr>
        <w:tc>
          <w:tcPr>
            <w:tcW w:w="6196" w:type="dxa"/>
            <w:gridSpan w:val="3"/>
            <w:shd w:val="clear" w:color="auto" w:fill="CCFFCC"/>
          </w:tcPr>
          <w:p w14:paraId="5E99A2B4" w14:textId="20B55294" w:rsidR="00C114D4" w:rsidRPr="00EB5A40" w:rsidRDefault="00C114D4" w:rsidP="00A07392">
            <w:pPr>
              <w:pStyle w:val="TableParagraph"/>
              <w:keepNext/>
              <w:keepLines/>
              <w:spacing w:before="31" w:line="211" w:lineRule="exact"/>
              <w:ind w:left="339" w:right="338" w:hanging="720"/>
              <w:outlineLvl w:val="8"/>
              <w:rPr>
                <w:rFonts w:asciiTheme="majorHAnsi" w:hAnsiTheme="majorHAnsi"/>
                <w:b/>
                <w:sz w:val="20"/>
                <w:szCs w:val="20"/>
              </w:rPr>
            </w:pPr>
            <w:r w:rsidRPr="00EB5A40">
              <w:rPr>
                <w:rFonts w:asciiTheme="majorHAnsi" w:hAnsiTheme="majorHAnsi"/>
                <w:b/>
                <w:sz w:val="20"/>
                <w:szCs w:val="20"/>
              </w:rPr>
              <w:lastRenderedPageBreak/>
              <w:t>TOWN OF CLIFTON HISTORIC POPULATION</w:t>
            </w:r>
            <w:r w:rsidR="006100CA">
              <w:rPr>
                <w:rFonts w:asciiTheme="majorHAnsi" w:hAnsiTheme="majorHAnsi"/>
                <w:b/>
                <w:sz w:val="20"/>
                <w:szCs w:val="20"/>
              </w:rPr>
              <w:t xml:space="preserve"> TRENDS</w:t>
            </w:r>
          </w:p>
        </w:tc>
      </w:tr>
      <w:tr w:rsidR="00A07392" w:rsidRPr="00C114D4" w14:paraId="1478D573" w14:textId="77777777" w:rsidTr="00EB5A40">
        <w:trPr>
          <w:trHeight w:val="257"/>
          <w:tblHeader/>
          <w:jc w:val="center"/>
        </w:trPr>
        <w:tc>
          <w:tcPr>
            <w:tcW w:w="2198" w:type="dxa"/>
          </w:tcPr>
          <w:p w14:paraId="70405A98" w14:textId="77777777" w:rsidR="00A07392" w:rsidRPr="00EB5A40" w:rsidRDefault="00A07392" w:rsidP="00A07392">
            <w:pPr>
              <w:pStyle w:val="TableParagraph"/>
              <w:keepNext/>
              <w:keepLines/>
              <w:spacing w:before="31" w:line="211" w:lineRule="exact"/>
              <w:ind w:left="898" w:hanging="720"/>
              <w:jc w:val="left"/>
              <w:outlineLvl w:val="8"/>
              <w:rPr>
                <w:rFonts w:asciiTheme="majorHAnsi" w:hAnsiTheme="majorHAnsi"/>
                <w:b/>
                <w:i/>
                <w:sz w:val="20"/>
                <w:szCs w:val="20"/>
              </w:rPr>
            </w:pPr>
            <w:r w:rsidRPr="00EB5A40">
              <w:rPr>
                <w:rFonts w:asciiTheme="majorHAnsi" w:hAnsiTheme="majorHAnsi"/>
                <w:b/>
                <w:i/>
                <w:sz w:val="20"/>
                <w:szCs w:val="20"/>
              </w:rPr>
              <w:t>Year</w:t>
            </w:r>
          </w:p>
        </w:tc>
        <w:tc>
          <w:tcPr>
            <w:tcW w:w="1980" w:type="dxa"/>
          </w:tcPr>
          <w:p w14:paraId="6FE07632" w14:textId="77777777" w:rsidR="00A07392" w:rsidRPr="00EB5A40" w:rsidRDefault="00A07392" w:rsidP="00A07392">
            <w:pPr>
              <w:pStyle w:val="TableParagraph"/>
              <w:keepNext/>
              <w:keepLines/>
              <w:spacing w:before="31" w:line="211" w:lineRule="exact"/>
              <w:ind w:left="509" w:right="509" w:hanging="720"/>
              <w:outlineLvl w:val="8"/>
              <w:rPr>
                <w:rFonts w:asciiTheme="majorHAnsi" w:hAnsiTheme="majorHAnsi"/>
                <w:b/>
                <w:i/>
                <w:sz w:val="20"/>
                <w:szCs w:val="20"/>
              </w:rPr>
            </w:pPr>
            <w:r w:rsidRPr="00EB5A40">
              <w:rPr>
                <w:rFonts w:asciiTheme="majorHAnsi" w:hAnsiTheme="majorHAnsi"/>
                <w:b/>
                <w:i/>
                <w:sz w:val="20"/>
                <w:szCs w:val="20"/>
              </w:rPr>
              <w:t>Population</w:t>
            </w:r>
          </w:p>
        </w:tc>
        <w:tc>
          <w:tcPr>
            <w:tcW w:w="2018" w:type="dxa"/>
          </w:tcPr>
          <w:p w14:paraId="11235B78" w14:textId="77777777" w:rsidR="00A07392" w:rsidRPr="00EB5A40" w:rsidRDefault="00A07392" w:rsidP="00A07392">
            <w:pPr>
              <w:pStyle w:val="TableParagraph"/>
              <w:keepNext/>
              <w:keepLines/>
              <w:spacing w:before="31" w:line="211" w:lineRule="exact"/>
              <w:ind w:left="339" w:right="338" w:hanging="720"/>
              <w:outlineLvl w:val="8"/>
              <w:rPr>
                <w:rFonts w:asciiTheme="majorHAnsi" w:hAnsiTheme="majorHAnsi"/>
                <w:b/>
                <w:i/>
                <w:sz w:val="20"/>
                <w:szCs w:val="20"/>
              </w:rPr>
            </w:pPr>
            <w:r w:rsidRPr="00EB5A40">
              <w:rPr>
                <w:rFonts w:asciiTheme="majorHAnsi" w:hAnsiTheme="majorHAnsi"/>
                <w:b/>
                <w:i/>
                <w:sz w:val="20"/>
                <w:szCs w:val="20"/>
              </w:rPr>
              <w:t>Rate of Change</w:t>
            </w:r>
          </w:p>
        </w:tc>
      </w:tr>
      <w:tr w:rsidR="00A07392" w:rsidRPr="00C114D4" w14:paraId="7AAA1463" w14:textId="77777777" w:rsidTr="00EB5A40">
        <w:trPr>
          <w:trHeight w:val="260"/>
          <w:jc w:val="center"/>
        </w:trPr>
        <w:tc>
          <w:tcPr>
            <w:tcW w:w="2198" w:type="dxa"/>
          </w:tcPr>
          <w:p w14:paraId="7AA161DC" w14:textId="77777777" w:rsidR="00A07392" w:rsidRPr="00EB5A40" w:rsidRDefault="00A07392" w:rsidP="00A07392">
            <w:pPr>
              <w:pStyle w:val="TableParagraph"/>
              <w:keepNext/>
              <w:keepLines/>
              <w:spacing w:before="31" w:line="212" w:lineRule="exact"/>
              <w:ind w:left="892" w:hanging="720"/>
              <w:jc w:val="left"/>
              <w:outlineLvl w:val="8"/>
              <w:rPr>
                <w:rFonts w:asciiTheme="majorHAnsi" w:hAnsiTheme="majorHAnsi"/>
                <w:sz w:val="20"/>
                <w:szCs w:val="20"/>
              </w:rPr>
            </w:pPr>
            <w:r w:rsidRPr="00EB5A40">
              <w:rPr>
                <w:rFonts w:asciiTheme="majorHAnsi" w:hAnsiTheme="majorHAnsi"/>
                <w:sz w:val="20"/>
                <w:szCs w:val="20"/>
              </w:rPr>
              <w:t>1850</w:t>
            </w:r>
          </w:p>
        </w:tc>
        <w:tc>
          <w:tcPr>
            <w:tcW w:w="1980" w:type="dxa"/>
          </w:tcPr>
          <w:p w14:paraId="1C3420E5" w14:textId="77777777" w:rsidR="00A07392" w:rsidRPr="00EB5A40" w:rsidRDefault="00A07392" w:rsidP="00A07392">
            <w:pPr>
              <w:pStyle w:val="TableParagraph"/>
              <w:keepNext/>
              <w:keepLines/>
              <w:spacing w:before="31" w:line="212" w:lineRule="exact"/>
              <w:ind w:left="508" w:right="509" w:hanging="720"/>
              <w:outlineLvl w:val="8"/>
              <w:rPr>
                <w:rFonts w:asciiTheme="majorHAnsi" w:hAnsiTheme="majorHAnsi"/>
                <w:sz w:val="20"/>
                <w:szCs w:val="20"/>
              </w:rPr>
            </w:pPr>
            <w:r w:rsidRPr="00EB5A40">
              <w:rPr>
                <w:rFonts w:asciiTheme="majorHAnsi" w:hAnsiTheme="majorHAnsi"/>
                <w:sz w:val="20"/>
                <w:szCs w:val="20"/>
              </w:rPr>
              <w:t>306</w:t>
            </w:r>
          </w:p>
        </w:tc>
        <w:tc>
          <w:tcPr>
            <w:tcW w:w="2018" w:type="dxa"/>
          </w:tcPr>
          <w:p w14:paraId="16DEC14B" w14:textId="77777777" w:rsidR="00A07392" w:rsidRPr="00EB5A40" w:rsidRDefault="00A07392" w:rsidP="00A07392">
            <w:pPr>
              <w:pStyle w:val="TableParagraph"/>
              <w:keepNext/>
              <w:keepLines/>
              <w:spacing w:before="31" w:line="212" w:lineRule="exact"/>
              <w:ind w:left="337" w:right="338" w:hanging="720"/>
              <w:outlineLvl w:val="8"/>
              <w:rPr>
                <w:rFonts w:asciiTheme="majorHAnsi" w:hAnsiTheme="majorHAnsi"/>
                <w:sz w:val="20"/>
                <w:szCs w:val="20"/>
              </w:rPr>
            </w:pPr>
            <w:r w:rsidRPr="00EB5A40">
              <w:rPr>
                <w:rFonts w:asciiTheme="majorHAnsi" w:hAnsiTheme="majorHAnsi"/>
                <w:sz w:val="20"/>
                <w:szCs w:val="20"/>
              </w:rPr>
              <w:t>--</w:t>
            </w:r>
          </w:p>
        </w:tc>
      </w:tr>
      <w:tr w:rsidR="00A07392" w:rsidRPr="00C114D4" w14:paraId="58803B77" w14:textId="77777777" w:rsidTr="00EB5A40">
        <w:trPr>
          <w:trHeight w:val="260"/>
          <w:jc w:val="center"/>
        </w:trPr>
        <w:tc>
          <w:tcPr>
            <w:tcW w:w="2198" w:type="dxa"/>
          </w:tcPr>
          <w:p w14:paraId="69DD185E" w14:textId="77777777" w:rsidR="00A07392" w:rsidRPr="00EB5A40" w:rsidRDefault="00A07392" w:rsidP="00A07392">
            <w:pPr>
              <w:pStyle w:val="TableParagraph"/>
              <w:keepNext/>
              <w:keepLines/>
              <w:spacing w:before="31" w:line="212" w:lineRule="exact"/>
              <w:ind w:left="892" w:hanging="720"/>
              <w:jc w:val="left"/>
              <w:outlineLvl w:val="8"/>
              <w:rPr>
                <w:rFonts w:asciiTheme="majorHAnsi" w:hAnsiTheme="majorHAnsi"/>
                <w:sz w:val="20"/>
                <w:szCs w:val="20"/>
              </w:rPr>
            </w:pPr>
            <w:r w:rsidRPr="00EB5A40">
              <w:rPr>
                <w:rFonts w:asciiTheme="majorHAnsi" w:hAnsiTheme="majorHAnsi"/>
                <w:sz w:val="20"/>
                <w:szCs w:val="20"/>
              </w:rPr>
              <w:t>1860</w:t>
            </w:r>
          </w:p>
        </w:tc>
        <w:tc>
          <w:tcPr>
            <w:tcW w:w="1980" w:type="dxa"/>
          </w:tcPr>
          <w:p w14:paraId="61FCB878" w14:textId="77777777" w:rsidR="00A07392" w:rsidRPr="00EB5A40" w:rsidRDefault="00A07392" w:rsidP="00A07392">
            <w:pPr>
              <w:pStyle w:val="TableParagraph"/>
              <w:keepNext/>
              <w:keepLines/>
              <w:spacing w:before="31" w:line="212" w:lineRule="exact"/>
              <w:ind w:left="509" w:right="509" w:hanging="720"/>
              <w:outlineLvl w:val="8"/>
              <w:rPr>
                <w:rFonts w:asciiTheme="majorHAnsi" w:hAnsiTheme="majorHAnsi"/>
                <w:sz w:val="20"/>
                <w:szCs w:val="20"/>
              </w:rPr>
            </w:pPr>
            <w:r w:rsidRPr="00EB5A40">
              <w:rPr>
                <w:rFonts w:asciiTheme="majorHAnsi" w:hAnsiTheme="majorHAnsi"/>
                <w:sz w:val="20"/>
                <w:szCs w:val="20"/>
              </w:rPr>
              <w:t>307</w:t>
            </w:r>
          </w:p>
        </w:tc>
        <w:tc>
          <w:tcPr>
            <w:tcW w:w="2018" w:type="dxa"/>
          </w:tcPr>
          <w:p w14:paraId="373DCA22" w14:textId="77777777" w:rsidR="00A07392" w:rsidRPr="00EB5A40" w:rsidRDefault="00A07392" w:rsidP="00A07392">
            <w:pPr>
              <w:pStyle w:val="TableParagraph"/>
              <w:keepNext/>
              <w:keepLines/>
              <w:spacing w:before="31" w:line="212" w:lineRule="exact"/>
              <w:ind w:left="337" w:right="338" w:hanging="720"/>
              <w:outlineLvl w:val="8"/>
              <w:rPr>
                <w:rFonts w:asciiTheme="majorHAnsi" w:hAnsiTheme="majorHAnsi"/>
                <w:sz w:val="20"/>
                <w:szCs w:val="20"/>
              </w:rPr>
            </w:pPr>
            <w:r w:rsidRPr="00EB5A40">
              <w:rPr>
                <w:rFonts w:asciiTheme="majorHAnsi" w:hAnsiTheme="majorHAnsi"/>
                <w:sz w:val="20"/>
                <w:szCs w:val="20"/>
              </w:rPr>
              <w:t>0.33%</w:t>
            </w:r>
          </w:p>
        </w:tc>
      </w:tr>
      <w:tr w:rsidR="00A07392" w:rsidRPr="00C114D4" w14:paraId="2E4321EF" w14:textId="77777777" w:rsidTr="00EB5A40">
        <w:trPr>
          <w:trHeight w:val="260"/>
          <w:jc w:val="center"/>
        </w:trPr>
        <w:tc>
          <w:tcPr>
            <w:tcW w:w="2198" w:type="dxa"/>
          </w:tcPr>
          <w:p w14:paraId="4A761826" w14:textId="77777777" w:rsidR="00A07392" w:rsidRPr="00EB5A40" w:rsidRDefault="00A07392" w:rsidP="00A07392">
            <w:pPr>
              <w:pStyle w:val="TableParagraph"/>
              <w:keepNext/>
              <w:keepLines/>
              <w:spacing w:before="31" w:line="213" w:lineRule="exact"/>
              <w:ind w:left="892" w:hanging="720"/>
              <w:jc w:val="left"/>
              <w:outlineLvl w:val="8"/>
              <w:rPr>
                <w:rFonts w:asciiTheme="majorHAnsi" w:hAnsiTheme="majorHAnsi"/>
                <w:sz w:val="20"/>
                <w:szCs w:val="20"/>
              </w:rPr>
            </w:pPr>
            <w:r w:rsidRPr="00EB5A40">
              <w:rPr>
                <w:rFonts w:asciiTheme="majorHAnsi" w:hAnsiTheme="majorHAnsi"/>
                <w:sz w:val="20"/>
                <w:szCs w:val="20"/>
              </w:rPr>
              <w:t>1870</w:t>
            </w:r>
          </w:p>
        </w:tc>
        <w:tc>
          <w:tcPr>
            <w:tcW w:w="1980" w:type="dxa"/>
          </w:tcPr>
          <w:p w14:paraId="2F89546E" w14:textId="77777777" w:rsidR="00A07392" w:rsidRPr="00EB5A40" w:rsidRDefault="00A07392" w:rsidP="00A07392">
            <w:pPr>
              <w:pStyle w:val="TableParagraph"/>
              <w:keepNext/>
              <w:keepLines/>
              <w:spacing w:before="31" w:line="213" w:lineRule="exact"/>
              <w:ind w:left="509" w:right="509" w:hanging="720"/>
              <w:outlineLvl w:val="8"/>
              <w:rPr>
                <w:rFonts w:asciiTheme="majorHAnsi" w:hAnsiTheme="majorHAnsi"/>
                <w:sz w:val="20"/>
                <w:szCs w:val="20"/>
              </w:rPr>
            </w:pPr>
            <w:r w:rsidRPr="00EB5A40">
              <w:rPr>
                <w:rFonts w:asciiTheme="majorHAnsi" w:hAnsiTheme="majorHAnsi"/>
                <w:sz w:val="20"/>
                <w:szCs w:val="20"/>
              </w:rPr>
              <w:t>348</w:t>
            </w:r>
          </w:p>
        </w:tc>
        <w:tc>
          <w:tcPr>
            <w:tcW w:w="2018" w:type="dxa"/>
          </w:tcPr>
          <w:p w14:paraId="4278C5A5" w14:textId="77777777" w:rsidR="00A07392" w:rsidRPr="00EB5A40" w:rsidRDefault="00A07392" w:rsidP="00A07392">
            <w:pPr>
              <w:pStyle w:val="TableParagraph"/>
              <w:keepNext/>
              <w:keepLines/>
              <w:spacing w:before="31" w:line="213" w:lineRule="exact"/>
              <w:ind w:left="338" w:right="338" w:hanging="720"/>
              <w:outlineLvl w:val="8"/>
              <w:rPr>
                <w:rFonts w:asciiTheme="majorHAnsi" w:hAnsiTheme="majorHAnsi"/>
                <w:sz w:val="20"/>
                <w:szCs w:val="20"/>
              </w:rPr>
            </w:pPr>
            <w:r w:rsidRPr="00EB5A40">
              <w:rPr>
                <w:rFonts w:asciiTheme="majorHAnsi" w:hAnsiTheme="majorHAnsi"/>
                <w:sz w:val="20"/>
                <w:szCs w:val="20"/>
              </w:rPr>
              <w:t>13.36%</w:t>
            </w:r>
          </w:p>
        </w:tc>
      </w:tr>
      <w:tr w:rsidR="00A07392" w:rsidRPr="00C114D4" w14:paraId="2A11D5F5" w14:textId="77777777" w:rsidTr="00EB5A40">
        <w:trPr>
          <w:trHeight w:val="260"/>
          <w:jc w:val="center"/>
        </w:trPr>
        <w:tc>
          <w:tcPr>
            <w:tcW w:w="2198" w:type="dxa"/>
          </w:tcPr>
          <w:p w14:paraId="6079A33E" w14:textId="77777777" w:rsidR="00A07392" w:rsidRPr="00EB5A40" w:rsidRDefault="00A07392" w:rsidP="00A07392">
            <w:pPr>
              <w:pStyle w:val="TableParagraph"/>
              <w:keepNext/>
              <w:keepLines/>
              <w:spacing w:before="31" w:line="212" w:lineRule="exact"/>
              <w:ind w:left="892" w:hanging="720"/>
              <w:jc w:val="left"/>
              <w:outlineLvl w:val="8"/>
              <w:rPr>
                <w:rFonts w:asciiTheme="majorHAnsi" w:hAnsiTheme="majorHAnsi"/>
                <w:sz w:val="20"/>
                <w:szCs w:val="20"/>
              </w:rPr>
            </w:pPr>
            <w:r w:rsidRPr="00EB5A40">
              <w:rPr>
                <w:rFonts w:asciiTheme="majorHAnsi" w:hAnsiTheme="majorHAnsi"/>
                <w:sz w:val="20"/>
                <w:szCs w:val="20"/>
              </w:rPr>
              <w:t>1880</w:t>
            </w:r>
          </w:p>
        </w:tc>
        <w:tc>
          <w:tcPr>
            <w:tcW w:w="1980" w:type="dxa"/>
          </w:tcPr>
          <w:p w14:paraId="35785E10" w14:textId="77777777" w:rsidR="00A07392" w:rsidRPr="00EB5A40" w:rsidRDefault="00A07392" w:rsidP="00A07392">
            <w:pPr>
              <w:pStyle w:val="TableParagraph"/>
              <w:keepNext/>
              <w:keepLines/>
              <w:spacing w:before="31" w:line="212" w:lineRule="exact"/>
              <w:ind w:left="509" w:right="509" w:hanging="720"/>
              <w:outlineLvl w:val="8"/>
              <w:rPr>
                <w:rFonts w:asciiTheme="majorHAnsi" w:hAnsiTheme="majorHAnsi"/>
                <w:sz w:val="20"/>
                <w:szCs w:val="20"/>
              </w:rPr>
            </w:pPr>
            <w:r w:rsidRPr="00EB5A40">
              <w:rPr>
                <w:rFonts w:asciiTheme="majorHAnsi" w:hAnsiTheme="majorHAnsi"/>
                <w:sz w:val="20"/>
                <w:szCs w:val="20"/>
              </w:rPr>
              <w:t>350</w:t>
            </w:r>
          </w:p>
        </w:tc>
        <w:tc>
          <w:tcPr>
            <w:tcW w:w="2018" w:type="dxa"/>
          </w:tcPr>
          <w:p w14:paraId="65BD4BCD" w14:textId="77777777" w:rsidR="00A07392" w:rsidRPr="00EB5A40" w:rsidRDefault="00A07392" w:rsidP="00A07392">
            <w:pPr>
              <w:pStyle w:val="TableParagraph"/>
              <w:keepNext/>
              <w:keepLines/>
              <w:spacing w:before="31" w:line="212" w:lineRule="exact"/>
              <w:ind w:left="337" w:right="338" w:hanging="720"/>
              <w:outlineLvl w:val="8"/>
              <w:rPr>
                <w:rFonts w:asciiTheme="majorHAnsi" w:hAnsiTheme="majorHAnsi"/>
                <w:sz w:val="20"/>
                <w:szCs w:val="20"/>
              </w:rPr>
            </w:pPr>
            <w:r w:rsidRPr="00EB5A40">
              <w:rPr>
                <w:rFonts w:asciiTheme="majorHAnsi" w:hAnsiTheme="majorHAnsi"/>
                <w:sz w:val="20"/>
                <w:szCs w:val="20"/>
              </w:rPr>
              <w:t>0.57%</w:t>
            </w:r>
          </w:p>
        </w:tc>
      </w:tr>
      <w:tr w:rsidR="00A07392" w:rsidRPr="00C114D4" w14:paraId="110B8A0B" w14:textId="77777777" w:rsidTr="00EB5A40">
        <w:trPr>
          <w:trHeight w:val="260"/>
          <w:jc w:val="center"/>
        </w:trPr>
        <w:tc>
          <w:tcPr>
            <w:tcW w:w="2198" w:type="dxa"/>
          </w:tcPr>
          <w:p w14:paraId="0949F3B8" w14:textId="77777777" w:rsidR="00A07392" w:rsidRPr="00EB5A40" w:rsidRDefault="00A07392" w:rsidP="00A07392">
            <w:pPr>
              <w:pStyle w:val="TableParagraph"/>
              <w:keepNext/>
              <w:keepLines/>
              <w:spacing w:before="31" w:line="212" w:lineRule="exact"/>
              <w:ind w:left="892" w:hanging="720"/>
              <w:jc w:val="left"/>
              <w:outlineLvl w:val="8"/>
              <w:rPr>
                <w:rFonts w:asciiTheme="majorHAnsi" w:hAnsiTheme="majorHAnsi"/>
                <w:sz w:val="20"/>
                <w:szCs w:val="20"/>
              </w:rPr>
            </w:pPr>
            <w:r w:rsidRPr="00EB5A40">
              <w:rPr>
                <w:rFonts w:asciiTheme="majorHAnsi" w:hAnsiTheme="majorHAnsi"/>
                <w:sz w:val="20"/>
                <w:szCs w:val="20"/>
              </w:rPr>
              <w:t>1890</w:t>
            </w:r>
          </w:p>
        </w:tc>
        <w:tc>
          <w:tcPr>
            <w:tcW w:w="1980" w:type="dxa"/>
          </w:tcPr>
          <w:p w14:paraId="751799E8" w14:textId="77777777" w:rsidR="00A07392" w:rsidRPr="00EB5A40" w:rsidRDefault="00A07392" w:rsidP="00A07392">
            <w:pPr>
              <w:pStyle w:val="TableParagraph"/>
              <w:keepNext/>
              <w:keepLines/>
              <w:spacing w:before="31" w:line="212" w:lineRule="exact"/>
              <w:ind w:left="509" w:right="509" w:hanging="720"/>
              <w:outlineLvl w:val="8"/>
              <w:rPr>
                <w:rFonts w:asciiTheme="majorHAnsi" w:hAnsiTheme="majorHAnsi"/>
                <w:sz w:val="20"/>
                <w:szCs w:val="20"/>
              </w:rPr>
            </w:pPr>
            <w:r w:rsidRPr="00EB5A40">
              <w:rPr>
                <w:rFonts w:asciiTheme="majorHAnsi" w:hAnsiTheme="majorHAnsi"/>
                <w:sz w:val="20"/>
                <w:szCs w:val="20"/>
              </w:rPr>
              <w:t>284</w:t>
            </w:r>
          </w:p>
        </w:tc>
        <w:tc>
          <w:tcPr>
            <w:tcW w:w="2018" w:type="dxa"/>
          </w:tcPr>
          <w:p w14:paraId="25783EBC" w14:textId="77777777" w:rsidR="00A07392" w:rsidRPr="00EB5A40" w:rsidRDefault="00A07392" w:rsidP="00A07392">
            <w:pPr>
              <w:pStyle w:val="TableParagraph"/>
              <w:keepNext/>
              <w:keepLines/>
              <w:spacing w:before="31" w:line="212" w:lineRule="exact"/>
              <w:ind w:left="338" w:right="338" w:hanging="720"/>
              <w:outlineLvl w:val="8"/>
              <w:rPr>
                <w:rFonts w:asciiTheme="majorHAnsi" w:hAnsiTheme="majorHAnsi"/>
                <w:sz w:val="20"/>
                <w:szCs w:val="20"/>
              </w:rPr>
            </w:pPr>
            <w:r w:rsidRPr="00EB5A40">
              <w:rPr>
                <w:rFonts w:asciiTheme="majorHAnsi" w:hAnsiTheme="majorHAnsi"/>
                <w:sz w:val="20"/>
                <w:szCs w:val="20"/>
              </w:rPr>
              <w:t>-18.86%</w:t>
            </w:r>
          </w:p>
        </w:tc>
      </w:tr>
      <w:tr w:rsidR="00A07392" w:rsidRPr="00C114D4" w14:paraId="546C5504" w14:textId="77777777" w:rsidTr="00EB5A40">
        <w:trPr>
          <w:trHeight w:val="260"/>
          <w:jc w:val="center"/>
        </w:trPr>
        <w:tc>
          <w:tcPr>
            <w:tcW w:w="2198" w:type="dxa"/>
          </w:tcPr>
          <w:p w14:paraId="02BB7003" w14:textId="77777777" w:rsidR="00A07392" w:rsidRPr="00EB5A40" w:rsidRDefault="00A07392" w:rsidP="00A07392">
            <w:pPr>
              <w:pStyle w:val="TableParagraph"/>
              <w:keepNext/>
              <w:keepLines/>
              <w:spacing w:before="31" w:line="213" w:lineRule="exact"/>
              <w:ind w:left="892" w:hanging="720"/>
              <w:jc w:val="left"/>
              <w:outlineLvl w:val="8"/>
              <w:rPr>
                <w:rFonts w:asciiTheme="majorHAnsi" w:hAnsiTheme="majorHAnsi"/>
                <w:sz w:val="20"/>
                <w:szCs w:val="20"/>
              </w:rPr>
            </w:pPr>
            <w:r w:rsidRPr="00EB5A40">
              <w:rPr>
                <w:rFonts w:asciiTheme="majorHAnsi" w:hAnsiTheme="majorHAnsi"/>
                <w:sz w:val="20"/>
                <w:szCs w:val="20"/>
              </w:rPr>
              <w:t>1900</w:t>
            </w:r>
          </w:p>
        </w:tc>
        <w:tc>
          <w:tcPr>
            <w:tcW w:w="1980" w:type="dxa"/>
          </w:tcPr>
          <w:p w14:paraId="6BC4D66A" w14:textId="77777777" w:rsidR="00A07392" w:rsidRPr="00EB5A40" w:rsidRDefault="00A07392" w:rsidP="00A07392">
            <w:pPr>
              <w:pStyle w:val="TableParagraph"/>
              <w:keepNext/>
              <w:keepLines/>
              <w:spacing w:before="31" w:line="213" w:lineRule="exact"/>
              <w:ind w:left="509" w:right="509" w:hanging="720"/>
              <w:outlineLvl w:val="8"/>
              <w:rPr>
                <w:rFonts w:asciiTheme="majorHAnsi" w:hAnsiTheme="majorHAnsi"/>
                <w:sz w:val="20"/>
                <w:szCs w:val="20"/>
              </w:rPr>
            </w:pPr>
            <w:r w:rsidRPr="00EB5A40">
              <w:rPr>
                <w:rFonts w:asciiTheme="majorHAnsi" w:hAnsiTheme="majorHAnsi"/>
                <w:sz w:val="20"/>
                <w:szCs w:val="20"/>
              </w:rPr>
              <w:t>236</w:t>
            </w:r>
          </w:p>
        </w:tc>
        <w:tc>
          <w:tcPr>
            <w:tcW w:w="2018" w:type="dxa"/>
          </w:tcPr>
          <w:p w14:paraId="79628A9B" w14:textId="77777777" w:rsidR="00A07392" w:rsidRPr="00EB5A40" w:rsidRDefault="00A07392" w:rsidP="00A07392">
            <w:pPr>
              <w:pStyle w:val="TableParagraph"/>
              <w:keepNext/>
              <w:keepLines/>
              <w:spacing w:before="31" w:line="213" w:lineRule="exact"/>
              <w:ind w:left="338" w:right="338" w:hanging="720"/>
              <w:outlineLvl w:val="8"/>
              <w:rPr>
                <w:rFonts w:asciiTheme="majorHAnsi" w:hAnsiTheme="majorHAnsi"/>
                <w:sz w:val="20"/>
                <w:szCs w:val="20"/>
              </w:rPr>
            </w:pPr>
            <w:r w:rsidRPr="00EB5A40">
              <w:rPr>
                <w:rFonts w:asciiTheme="majorHAnsi" w:hAnsiTheme="majorHAnsi"/>
                <w:sz w:val="20"/>
                <w:szCs w:val="20"/>
              </w:rPr>
              <w:t>-16.90%</w:t>
            </w:r>
          </w:p>
        </w:tc>
      </w:tr>
      <w:tr w:rsidR="00A07392" w:rsidRPr="00C114D4" w14:paraId="2C5CB9F4" w14:textId="77777777" w:rsidTr="00EB5A40">
        <w:trPr>
          <w:trHeight w:val="260"/>
          <w:jc w:val="center"/>
        </w:trPr>
        <w:tc>
          <w:tcPr>
            <w:tcW w:w="2198" w:type="dxa"/>
          </w:tcPr>
          <w:p w14:paraId="5B066C45" w14:textId="77777777" w:rsidR="00A07392" w:rsidRPr="00EB5A40" w:rsidRDefault="00A07392" w:rsidP="00A07392">
            <w:pPr>
              <w:pStyle w:val="TableParagraph"/>
              <w:keepNext/>
              <w:keepLines/>
              <w:spacing w:before="31" w:line="212" w:lineRule="exact"/>
              <w:ind w:left="892" w:hanging="720"/>
              <w:jc w:val="left"/>
              <w:outlineLvl w:val="8"/>
              <w:rPr>
                <w:rFonts w:asciiTheme="majorHAnsi" w:hAnsiTheme="majorHAnsi"/>
                <w:sz w:val="20"/>
                <w:szCs w:val="20"/>
              </w:rPr>
            </w:pPr>
            <w:r w:rsidRPr="00EB5A40">
              <w:rPr>
                <w:rFonts w:asciiTheme="majorHAnsi" w:hAnsiTheme="majorHAnsi"/>
                <w:sz w:val="20"/>
                <w:szCs w:val="20"/>
              </w:rPr>
              <w:t>1910</w:t>
            </w:r>
          </w:p>
        </w:tc>
        <w:tc>
          <w:tcPr>
            <w:tcW w:w="1980" w:type="dxa"/>
          </w:tcPr>
          <w:p w14:paraId="20746989" w14:textId="77777777" w:rsidR="00A07392" w:rsidRPr="00EB5A40" w:rsidRDefault="00A07392" w:rsidP="00A07392">
            <w:pPr>
              <w:pStyle w:val="TableParagraph"/>
              <w:keepNext/>
              <w:keepLines/>
              <w:spacing w:before="31" w:line="212" w:lineRule="exact"/>
              <w:ind w:left="509" w:right="509" w:hanging="720"/>
              <w:outlineLvl w:val="8"/>
              <w:rPr>
                <w:rFonts w:asciiTheme="majorHAnsi" w:hAnsiTheme="majorHAnsi"/>
                <w:sz w:val="20"/>
                <w:szCs w:val="20"/>
              </w:rPr>
            </w:pPr>
            <w:r w:rsidRPr="00EB5A40">
              <w:rPr>
                <w:rFonts w:asciiTheme="majorHAnsi" w:hAnsiTheme="majorHAnsi"/>
                <w:sz w:val="20"/>
                <w:szCs w:val="20"/>
              </w:rPr>
              <w:t>217</w:t>
            </w:r>
          </w:p>
        </w:tc>
        <w:tc>
          <w:tcPr>
            <w:tcW w:w="2018" w:type="dxa"/>
          </w:tcPr>
          <w:p w14:paraId="2D0177C6" w14:textId="77777777" w:rsidR="00A07392" w:rsidRPr="00EB5A40" w:rsidRDefault="00A07392" w:rsidP="00A07392">
            <w:pPr>
              <w:pStyle w:val="TableParagraph"/>
              <w:keepNext/>
              <w:keepLines/>
              <w:spacing w:before="31" w:line="212" w:lineRule="exact"/>
              <w:ind w:left="338" w:right="338" w:hanging="720"/>
              <w:outlineLvl w:val="8"/>
              <w:rPr>
                <w:rFonts w:asciiTheme="majorHAnsi" w:hAnsiTheme="majorHAnsi"/>
                <w:sz w:val="20"/>
                <w:szCs w:val="20"/>
              </w:rPr>
            </w:pPr>
            <w:r w:rsidRPr="00EB5A40">
              <w:rPr>
                <w:rFonts w:asciiTheme="majorHAnsi" w:hAnsiTheme="majorHAnsi"/>
                <w:sz w:val="20"/>
                <w:szCs w:val="20"/>
              </w:rPr>
              <w:t>-8.05%</w:t>
            </w:r>
          </w:p>
        </w:tc>
      </w:tr>
      <w:tr w:rsidR="00A07392" w:rsidRPr="00C114D4" w14:paraId="419623B1" w14:textId="77777777" w:rsidTr="00EB5A40">
        <w:trPr>
          <w:trHeight w:val="260"/>
          <w:jc w:val="center"/>
        </w:trPr>
        <w:tc>
          <w:tcPr>
            <w:tcW w:w="2198" w:type="dxa"/>
          </w:tcPr>
          <w:p w14:paraId="7C568301" w14:textId="77777777" w:rsidR="00A07392" w:rsidRPr="00EB5A40" w:rsidRDefault="00A07392" w:rsidP="00A07392">
            <w:pPr>
              <w:pStyle w:val="TableParagraph"/>
              <w:keepNext/>
              <w:keepLines/>
              <w:spacing w:before="31" w:line="212" w:lineRule="exact"/>
              <w:ind w:left="892" w:hanging="720"/>
              <w:jc w:val="left"/>
              <w:outlineLvl w:val="8"/>
              <w:rPr>
                <w:rFonts w:asciiTheme="majorHAnsi" w:hAnsiTheme="majorHAnsi"/>
                <w:sz w:val="20"/>
                <w:szCs w:val="20"/>
              </w:rPr>
            </w:pPr>
            <w:r w:rsidRPr="00EB5A40">
              <w:rPr>
                <w:rFonts w:asciiTheme="majorHAnsi" w:hAnsiTheme="majorHAnsi"/>
                <w:sz w:val="20"/>
                <w:szCs w:val="20"/>
              </w:rPr>
              <w:t>1920</w:t>
            </w:r>
          </w:p>
        </w:tc>
        <w:tc>
          <w:tcPr>
            <w:tcW w:w="1980" w:type="dxa"/>
          </w:tcPr>
          <w:p w14:paraId="1DECB480" w14:textId="77777777" w:rsidR="00A07392" w:rsidRPr="00EB5A40" w:rsidRDefault="00A07392" w:rsidP="00A07392">
            <w:pPr>
              <w:pStyle w:val="TableParagraph"/>
              <w:keepNext/>
              <w:keepLines/>
              <w:spacing w:before="31" w:line="212" w:lineRule="exact"/>
              <w:ind w:left="509" w:right="509" w:hanging="720"/>
              <w:outlineLvl w:val="8"/>
              <w:rPr>
                <w:rFonts w:asciiTheme="majorHAnsi" w:hAnsiTheme="majorHAnsi"/>
                <w:sz w:val="20"/>
                <w:szCs w:val="20"/>
              </w:rPr>
            </w:pPr>
            <w:r w:rsidRPr="00EB5A40">
              <w:rPr>
                <w:rFonts w:asciiTheme="majorHAnsi" w:hAnsiTheme="majorHAnsi"/>
                <w:sz w:val="20"/>
                <w:szCs w:val="20"/>
              </w:rPr>
              <w:t>185</w:t>
            </w:r>
          </w:p>
        </w:tc>
        <w:tc>
          <w:tcPr>
            <w:tcW w:w="2018" w:type="dxa"/>
          </w:tcPr>
          <w:p w14:paraId="1CD56526" w14:textId="77777777" w:rsidR="00A07392" w:rsidRPr="00EB5A40" w:rsidRDefault="00A07392" w:rsidP="00A07392">
            <w:pPr>
              <w:pStyle w:val="TableParagraph"/>
              <w:keepNext/>
              <w:keepLines/>
              <w:spacing w:before="31" w:line="212" w:lineRule="exact"/>
              <w:ind w:left="338" w:right="338" w:hanging="720"/>
              <w:outlineLvl w:val="8"/>
              <w:rPr>
                <w:rFonts w:asciiTheme="majorHAnsi" w:hAnsiTheme="majorHAnsi"/>
                <w:sz w:val="20"/>
                <w:szCs w:val="20"/>
              </w:rPr>
            </w:pPr>
            <w:r w:rsidRPr="00EB5A40">
              <w:rPr>
                <w:rFonts w:asciiTheme="majorHAnsi" w:hAnsiTheme="majorHAnsi"/>
                <w:sz w:val="20"/>
                <w:szCs w:val="20"/>
              </w:rPr>
              <w:t>-14.75%</w:t>
            </w:r>
          </w:p>
        </w:tc>
      </w:tr>
      <w:tr w:rsidR="00A07392" w:rsidRPr="00C114D4" w14:paraId="5E4A0E87" w14:textId="77777777" w:rsidTr="00EB5A40">
        <w:trPr>
          <w:trHeight w:val="260"/>
          <w:jc w:val="center"/>
        </w:trPr>
        <w:tc>
          <w:tcPr>
            <w:tcW w:w="2198" w:type="dxa"/>
          </w:tcPr>
          <w:p w14:paraId="37E422AE" w14:textId="77777777" w:rsidR="00A07392" w:rsidRPr="00EB5A40" w:rsidRDefault="00A07392" w:rsidP="00A07392">
            <w:pPr>
              <w:pStyle w:val="TableParagraph"/>
              <w:keepNext/>
              <w:keepLines/>
              <w:spacing w:before="31" w:line="213" w:lineRule="exact"/>
              <w:ind w:left="892" w:hanging="720"/>
              <w:jc w:val="left"/>
              <w:outlineLvl w:val="8"/>
              <w:rPr>
                <w:rFonts w:asciiTheme="majorHAnsi" w:hAnsiTheme="majorHAnsi"/>
                <w:sz w:val="20"/>
                <w:szCs w:val="20"/>
              </w:rPr>
            </w:pPr>
            <w:r w:rsidRPr="00EB5A40">
              <w:rPr>
                <w:rFonts w:asciiTheme="majorHAnsi" w:hAnsiTheme="majorHAnsi"/>
                <w:sz w:val="20"/>
                <w:szCs w:val="20"/>
              </w:rPr>
              <w:t>1930</w:t>
            </w:r>
          </w:p>
        </w:tc>
        <w:tc>
          <w:tcPr>
            <w:tcW w:w="1980" w:type="dxa"/>
          </w:tcPr>
          <w:p w14:paraId="46133DD5" w14:textId="77777777" w:rsidR="00A07392" w:rsidRPr="00EB5A40" w:rsidRDefault="00A07392" w:rsidP="00A07392">
            <w:pPr>
              <w:pStyle w:val="TableParagraph"/>
              <w:keepNext/>
              <w:keepLines/>
              <w:spacing w:before="31" w:line="213" w:lineRule="exact"/>
              <w:ind w:left="509" w:right="509" w:hanging="720"/>
              <w:outlineLvl w:val="8"/>
              <w:rPr>
                <w:rFonts w:asciiTheme="majorHAnsi" w:hAnsiTheme="majorHAnsi"/>
                <w:sz w:val="20"/>
                <w:szCs w:val="20"/>
              </w:rPr>
            </w:pPr>
            <w:r w:rsidRPr="00EB5A40">
              <w:rPr>
                <w:rFonts w:asciiTheme="majorHAnsi" w:hAnsiTheme="majorHAnsi"/>
                <w:sz w:val="20"/>
                <w:szCs w:val="20"/>
              </w:rPr>
              <w:t>156</w:t>
            </w:r>
          </w:p>
        </w:tc>
        <w:tc>
          <w:tcPr>
            <w:tcW w:w="2018" w:type="dxa"/>
          </w:tcPr>
          <w:p w14:paraId="6B37FF4D" w14:textId="77777777" w:rsidR="00A07392" w:rsidRPr="00EB5A40" w:rsidRDefault="00A07392" w:rsidP="00A07392">
            <w:pPr>
              <w:pStyle w:val="TableParagraph"/>
              <w:keepNext/>
              <w:keepLines/>
              <w:spacing w:before="31" w:line="213" w:lineRule="exact"/>
              <w:ind w:left="338" w:right="338" w:hanging="720"/>
              <w:outlineLvl w:val="8"/>
              <w:rPr>
                <w:rFonts w:asciiTheme="majorHAnsi" w:hAnsiTheme="majorHAnsi"/>
                <w:sz w:val="20"/>
                <w:szCs w:val="20"/>
              </w:rPr>
            </w:pPr>
            <w:r w:rsidRPr="00EB5A40">
              <w:rPr>
                <w:rFonts w:asciiTheme="majorHAnsi" w:hAnsiTheme="majorHAnsi"/>
                <w:sz w:val="20"/>
                <w:szCs w:val="20"/>
              </w:rPr>
              <w:t>-15.68%</w:t>
            </w:r>
          </w:p>
        </w:tc>
      </w:tr>
      <w:tr w:rsidR="00A07392" w:rsidRPr="00C114D4" w14:paraId="56D0D5EC" w14:textId="77777777" w:rsidTr="00EB5A40">
        <w:trPr>
          <w:trHeight w:val="260"/>
          <w:jc w:val="center"/>
        </w:trPr>
        <w:tc>
          <w:tcPr>
            <w:tcW w:w="2198" w:type="dxa"/>
          </w:tcPr>
          <w:p w14:paraId="5A1C3E10" w14:textId="77777777" w:rsidR="00A07392" w:rsidRPr="00EB5A40" w:rsidRDefault="00A07392" w:rsidP="00A07392">
            <w:pPr>
              <w:pStyle w:val="TableParagraph"/>
              <w:keepNext/>
              <w:keepLines/>
              <w:spacing w:before="31" w:line="212" w:lineRule="exact"/>
              <w:ind w:left="892" w:hanging="720"/>
              <w:jc w:val="left"/>
              <w:outlineLvl w:val="8"/>
              <w:rPr>
                <w:rFonts w:asciiTheme="majorHAnsi" w:hAnsiTheme="majorHAnsi"/>
                <w:sz w:val="20"/>
                <w:szCs w:val="20"/>
              </w:rPr>
            </w:pPr>
            <w:r w:rsidRPr="00EB5A40">
              <w:rPr>
                <w:rFonts w:asciiTheme="majorHAnsi" w:hAnsiTheme="majorHAnsi"/>
                <w:sz w:val="20"/>
                <w:szCs w:val="20"/>
              </w:rPr>
              <w:t>1940</w:t>
            </w:r>
          </w:p>
        </w:tc>
        <w:tc>
          <w:tcPr>
            <w:tcW w:w="1980" w:type="dxa"/>
          </w:tcPr>
          <w:p w14:paraId="0885D0AB" w14:textId="77777777" w:rsidR="00A07392" w:rsidRPr="00EB5A40" w:rsidRDefault="00A07392" w:rsidP="000820C7">
            <w:pPr>
              <w:pStyle w:val="TableParagraph"/>
              <w:keepNext/>
              <w:keepLines/>
              <w:spacing w:before="31" w:line="212" w:lineRule="exact"/>
              <w:ind w:left="509" w:right="509" w:hanging="689"/>
              <w:outlineLvl w:val="8"/>
              <w:rPr>
                <w:rFonts w:asciiTheme="majorHAnsi" w:hAnsiTheme="majorHAnsi"/>
                <w:sz w:val="20"/>
                <w:szCs w:val="20"/>
              </w:rPr>
            </w:pPr>
            <w:r w:rsidRPr="00EB5A40">
              <w:rPr>
                <w:rFonts w:asciiTheme="majorHAnsi" w:hAnsiTheme="majorHAnsi"/>
                <w:sz w:val="20"/>
                <w:szCs w:val="20"/>
              </w:rPr>
              <w:t>168</w:t>
            </w:r>
          </w:p>
        </w:tc>
        <w:tc>
          <w:tcPr>
            <w:tcW w:w="2018" w:type="dxa"/>
          </w:tcPr>
          <w:p w14:paraId="10A2F655" w14:textId="77777777" w:rsidR="00A07392" w:rsidRPr="00EB5A40" w:rsidRDefault="00A07392" w:rsidP="00A07392">
            <w:pPr>
              <w:pStyle w:val="TableParagraph"/>
              <w:keepNext/>
              <w:keepLines/>
              <w:spacing w:before="31" w:line="212" w:lineRule="exact"/>
              <w:ind w:left="337" w:right="338" w:hanging="720"/>
              <w:outlineLvl w:val="8"/>
              <w:rPr>
                <w:rFonts w:asciiTheme="majorHAnsi" w:hAnsiTheme="majorHAnsi"/>
                <w:sz w:val="20"/>
                <w:szCs w:val="20"/>
              </w:rPr>
            </w:pPr>
            <w:r w:rsidRPr="00EB5A40">
              <w:rPr>
                <w:rFonts w:asciiTheme="majorHAnsi" w:hAnsiTheme="majorHAnsi"/>
                <w:sz w:val="20"/>
                <w:szCs w:val="20"/>
              </w:rPr>
              <w:t>7.69%</w:t>
            </w:r>
          </w:p>
        </w:tc>
      </w:tr>
      <w:tr w:rsidR="00A07392" w:rsidRPr="00C114D4" w14:paraId="22285C43" w14:textId="77777777" w:rsidTr="00EB5A40">
        <w:trPr>
          <w:trHeight w:val="260"/>
          <w:jc w:val="center"/>
        </w:trPr>
        <w:tc>
          <w:tcPr>
            <w:tcW w:w="2198" w:type="dxa"/>
          </w:tcPr>
          <w:p w14:paraId="24AB9DAC" w14:textId="77777777" w:rsidR="00A07392" w:rsidRPr="00EB5A40" w:rsidRDefault="00A07392" w:rsidP="00A07392">
            <w:pPr>
              <w:pStyle w:val="TableParagraph"/>
              <w:keepNext/>
              <w:keepLines/>
              <w:spacing w:before="31" w:line="212" w:lineRule="exact"/>
              <w:ind w:left="892" w:hanging="720"/>
              <w:jc w:val="left"/>
              <w:outlineLvl w:val="8"/>
              <w:rPr>
                <w:rFonts w:asciiTheme="majorHAnsi" w:hAnsiTheme="majorHAnsi"/>
                <w:sz w:val="20"/>
                <w:szCs w:val="20"/>
              </w:rPr>
            </w:pPr>
            <w:r w:rsidRPr="00EB5A40">
              <w:rPr>
                <w:rFonts w:asciiTheme="majorHAnsi" w:hAnsiTheme="majorHAnsi"/>
                <w:sz w:val="20"/>
                <w:szCs w:val="20"/>
              </w:rPr>
              <w:t>1950</w:t>
            </w:r>
          </w:p>
        </w:tc>
        <w:tc>
          <w:tcPr>
            <w:tcW w:w="1980" w:type="dxa"/>
          </w:tcPr>
          <w:p w14:paraId="66CC8847" w14:textId="77777777" w:rsidR="00A07392" w:rsidRPr="00EB5A40" w:rsidRDefault="00A07392" w:rsidP="00A07392">
            <w:pPr>
              <w:pStyle w:val="TableParagraph"/>
              <w:keepNext/>
              <w:keepLines/>
              <w:spacing w:before="31" w:line="212" w:lineRule="exact"/>
              <w:ind w:left="509" w:right="509" w:hanging="720"/>
              <w:outlineLvl w:val="8"/>
              <w:rPr>
                <w:rFonts w:asciiTheme="majorHAnsi" w:hAnsiTheme="majorHAnsi"/>
                <w:sz w:val="20"/>
                <w:szCs w:val="20"/>
              </w:rPr>
            </w:pPr>
            <w:r w:rsidRPr="00EB5A40">
              <w:rPr>
                <w:rFonts w:asciiTheme="majorHAnsi" w:hAnsiTheme="majorHAnsi"/>
                <w:sz w:val="20"/>
                <w:szCs w:val="20"/>
              </w:rPr>
              <w:t>193</w:t>
            </w:r>
          </w:p>
        </w:tc>
        <w:tc>
          <w:tcPr>
            <w:tcW w:w="2018" w:type="dxa"/>
          </w:tcPr>
          <w:p w14:paraId="4F94FFDB" w14:textId="77777777" w:rsidR="00A07392" w:rsidRPr="00EB5A40" w:rsidRDefault="00A07392" w:rsidP="00A07392">
            <w:pPr>
              <w:pStyle w:val="TableParagraph"/>
              <w:keepNext/>
              <w:keepLines/>
              <w:spacing w:before="31" w:line="212" w:lineRule="exact"/>
              <w:ind w:left="338" w:right="338" w:hanging="720"/>
              <w:outlineLvl w:val="8"/>
              <w:rPr>
                <w:rFonts w:asciiTheme="majorHAnsi" w:hAnsiTheme="majorHAnsi"/>
                <w:sz w:val="20"/>
                <w:szCs w:val="20"/>
              </w:rPr>
            </w:pPr>
            <w:r w:rsidRPr="00EB5A40">
              <w:rPr>
                <w:rFonts w:asciiTheme="majorHAnsi" w:hAnsiTheme="majorHAnsi"/>
                <w:sz w:val="20"/>
                <w:szCs w:val="20"/>
              </w:rPr>
              <w:t>14.88%</w:t>
            </w:r>
          </w:p>
        </w:tc>
      </w:tr>
      <w:tr w:rsidR="00A07392" w:rsidRPr="00C114D4" w14:paraId="14C308BD" w14:textId="77777777" w:rsidTr="00EB5A40">
        <w:trPr>
          <w:trHeight w:val="260"/>
          <w:jc w:val="center"/>
        </w:trPr>
        <w:tc>
          <w:tcPr>
            <w:tcW w:w="2198" w:type="dxa"/>
          </w:tcPr>
          <w:p w14:paraId="016838CE" w14:textId="77777777" w:rsidR="00A07392" w:rsidRPr="00EB5A40" w:rsidRDefault="00A07392" w:rsidP="00EB5A40">
            <w:pPr>
              <w:pStyle w:val="TableParagraph"/>
              <w:keepNext/>
              <w:keepLines/>
              <w:spacing w:before="31" w:line="213" w:lineRule="exact"/>
              <w:ind w:left="892" w:hanging="674"/>
              <w:jc w:val="both"/>
              <w:outlineLvl w:val="8"/>
              <w:rPr>
                <w:rFonts w:asciiTheme="majorHAnsi" w:hAnsiTheme="majorHAnsi"/>
                <w:sz w:val="20"/>
                <w:szCs w:val="20"/>
              </w:rPr>
            </w:pPr>
            <w:r w:rsidRPr="00EB5A40">
              <w:rPr>
                <w:rFonts w:asciiTheme="majorHAnsi" w:hAnsiTheme="majorHAnsi"/>
                <w:sz w:val="20"/>
                <w:szCs w:val="20"/>
              </w:rPr>
              <w:t>1960</w:t>
            </w:r>
          </w:p>
        </w:tc>
        <w:tc>
          <w:tcPr>
            <w:tcW w:w="1980" w:type="dxa"/>
          </w:tcPr>
          <w:p w14:paraId="1657EEBC" w14:textId="77777777" w:rsidR="00A07392" w:rsidRPr="00EB5A40" w:rsidRDefault="00A07392" w:rsidP="00A07392">
            <w:pPr>
              <w:pStyle w:val="TableParagraph"/>
              <w:keepNext/>
              <w:keepLines/>
              <w:spacing w:before="31" w:line="213" w:lineRule="exact"/>
              <w:ind w:left="509" w:right="509" w:hanging="720"/>
              <w:outlineLvl w:val="8"/>
              <w:rPr>
                <w:rFonts w:asciiTheme="majorHAnsi" w:hAnsiTheme="majorHAnsi"/>
                <w:sz w:val="20"/>
                <w:szCs w:val="20"/>
              </w:rPr>
            </w:pPr>
            <w:r w:rsidRPr="00EB5A40">
              <w:rPr>
                <w:rFonts w:asciiTheme="majorHAnsi" w:hAnsiTheme="majorHAnsi"/>
                <w:sz w:val="20"/>
                <w:szCs w:val="20"/>
              </w:rPr>
              <w:t>227</w:t>
            </w:r>
          </w:p>
        </w:tc>
        <w:tc>
          <w:tcPr>
            <w:tcW w:w="2018" w:type="dxa"/>
          </w:tcPr>
          <w:p w14:paraId="466E691B" w14:textId="77777777" w:rsidR="00A07392" w:rsidRPr="00EB5A40" w:rsidRDefault="00A07392" w:rsidP="00A07392">
            <w:pPr>
              <w:pStyle w:val="TableParagraph"/>
              <w:keepNext/>
              <w:keepLines/>
              <w:spacing w:before="31" w:line="213" w:lineRule="exact"/>
              <w:ind w:left="338" w:right="338" w:hanging="720"/>
              <w:outlineLvl w:val="8"/>
              <w:rPr>
                <w:rFonts w:asciiTheme="majorHAnsi" w:hAnsiTheme="majorHAnsi"/>
                <w:sz w:val="20"/>
                <w:szCs w:val="20"/>
              </w:rPr>
            </w:pPr>
            <w:r w:rsidRPr="00EB5A40">
              <w:rPr>
                <w:rFonts w:asciiTheme="majorHAnsi" w:hAnsiTheme="majorHAnsi"/>
                <w:sz w:val="20"/>
                <w:szCs w:val="20"/>
              </w:rPr>
              <w:t>17.62%</w:t>
            </w:r>
          </w:p>
        </w:tc>
      </w:tr>
      <w:tr w:rsidR="00A07392" w:rsidRPr="00C114D4" w14:paraId="59ED2E36" w14:textId="77777777" w:rsidTr="00EB5A40">
        <w:trPr>
          <w:trHeight w:val="260"/>
          <w:jc w:val="center"/>
        </w:trPr>
        <w:tc>
          <w:tcPr>
            <w:tcW w:w="2198" w:type="dxa"/>
          </w:tcPr>
          <w:p w14:paraId="1933073D" w14:textId="77777777" w:rsidR="00A07392" w:rsidRPr="00EB5A40" w:rsidRDefault="00A07392" w:rsidP="00A07392">
            <w:pPr>
              <w:pStyle w:val="TableParagraph"/>
              <w:keepNext/>
              <w:keepLines/>
              <w:spacing w:before="31" w:line="212" w:lineRule="exact"/>
              <w:ind w:left="892" w:hanging="720"/>
              <w:jc w:val="left"/>
              <w:outlineLvl w:val="8"/>
              <w:rPr>
                <w:rFonts w:asciiTheme="majorHAnsi" w:hAnsiTheme="majorHAnsi"/>
                <w:sz w:val="20"/>
                <w:szCs w:val="20"/>
              </w:rPr>
            </w:pPr>
            <w:r w:rsidRPr="00EB5A40">
              <w:rPr>
                <w:rFonts w:asciiTheme="majorHAnsi" w:hAnsiTheme="majorHAnsi"/>
                <w:sz w:val="20"/>
                <w:szCs w:val="20"/>
              </w:rPr>
              <w:t>1970</w:t>
            </w:r>
          </w:p>
        </w:tc>
        <w:tc>
          <w:tcPr>
            <w:tcW w:w="1980" w:type="dxa"/>
          </w:tcPr>
          <w:p w14:paraId="55A97B10" w14:textId="77777777" w:rsidR="00A07392" w:rsidRPr="00EB5A40" w:rsidRDefault="00A07392" w:rsidP="00A07392">
            <w:pPr>
              <w:pStyle w:val="TableParagraph"/>
              <w:keepNext/>
              <w:keepLines/>
              <w:spacing w:before="31" w:line="212" w:lineRule="exact"/>
              <w:ind w:left="509" w:right="509" w:hanging="720"/>
              <w:outlineLvl w:val="8"/>
              <w:rPr>
                <w:rFonts w:asciiTheme="majorHAnsi" w:hAnsiTheme="majorHAnsi"/>
                <w:sz w:val="20"/>
                <w:szCs w:val="20"/>
              </w:rPr>
            </w:pPr>
            <w:r w:rsidRPr="00EB5A40">
              <w:rPr>
                <w:rFonts w:asciiTheme="majorHAnsi" w:hAnsiTheme="majorHAnsi"/>
                <w:sz w:val="20"/>
                <w:szCs w:val="20"/>
              </w:rPr>
              <w:t>233</w:t>
            </w:r>
          </w:p>
        </w:tc>
        <w:tc>
          <w:tcPr>
            <w:tcW w:w="2018" w:type="dxa"/>
          </w:tcPr>
          <w:p w14:paraId="61E2EEBA" w14:textId="77777777" w:rsidR="00A07392" w:rsidRPr="00EB5A40" w:rsidRDefault="00A07392" w:rsidP="00A07392">
            <w:pPr>
              <w:pStyle w:val="TableParagraph"/>
              <w:keepNext/>
              <w:keepLines/>
              <w:spacing w:before="31" w:line="212" w:lineRule="exact"/>
              <w:ind w:left="337" w:right="338" w:hanging="720"/>
              <w:outlineLvl w:val="8"/>
              <w:rPr>
                <w:rFonts w:asciiTheme="majorHAnsi" w:hAnsiTheme="majorHAnsi"/>
                <w:sz w:val="20"/>
                <w:szCs w:val="20"/>
              </w:rPr>
            </w:pPr>
            <w:r w:rsidRPr="00EB5A40">
              <w:rPr>
                <w:rFonts w:asciiTheme="majorHAnsi" w:hAnsiTheme="majorHAnsi"/>
                <w:sz w:val="20"/>
                <w:szCs w:val="20"/>
              </w:rPr>
              <w:t>2.64%</w:t>
            </w:r>
          </w:p>
        </w:tc>
      </w:tr>
      <w:tr w:rsidR="00A07392" w:rsidRPr="00C114D4" w14:paraId="08A0AC64" w14:textId="77777777" w:rsidTr="00EB5A40">
        <w:trPr>
          <w:trHeight w:val="260"/>
          <w:jc w:val="center"/>
        </w:trPr>
        <w:tc>
          <w:tcPr>
            <w:tcW w:w="2198" w:type="dxa"/>
          </w:tcPr>
          <w:p w14:paraId="7B12A2E2" w14:textId="77777777" w:rsidR="00A07392" w:rsidRPr="00EB5A40" w:rsidRDefault="00A07392" w:rsidP="00A07392">
            <w:pPr>
              <w:pStyle w:val="TableParagraph"/>
              <w:keepNext/>
              <w:keepLines/>
              <w:spacing w:before="31" w:line="212" w:lineRule="exact"/>
              <w:ind w:left="892" w:hanging="720"/>
              <w:jc w:val="left"/>
              <w:outlineLvl w:val="8"/>
              <w:rPr>
                <w:rFonts w:asciiTheme="majorHAnsi" w:hAnsiTheme="majorHAnsi"/>
                <w:sz w:val="20"/>
                <w:szCs w:val="20"/>
              </w:rPr>
            </w:pPr>
            <w:r w:rsidRPr="00EB5A40">
              <w:rPr>
                <w:rFonts w:asciiTheme="majorHAnsi" w:hAnsiTheme="majorHAnsi"/>
                <w:sz w:val="20"/>
                <w:szCs w:val="20"/>
              </w:rPr>
              <w:t>1980</w:t>
            </w:r>
          </w:p>
        </w:tc>
        <w:tc>
          <w:tcPr>
            <w:tcW w:w="1980" w:type="dxa"/>
          </w:tcPr>
          <w:p w14:paraId="14FFAD11" w14:textId="77777777" w:rsidR="00A07392" w:rsidRPr="00EB5A40" w:rsidRDefault="00A07392" w:rsidP="00A07392">
            <w:pPr>
              <w:pStyle w:val="TableParagraph"/>
              <w:keepNext/>
              <w:keepLines/>
              <w:spacing w:before="31" w:line="212" w:lineRule="exact"/>
              <w:ind w:left="509" w:right="509" w:hanging="720"/>
              <w:outlineLvl w:val="8"/>
              <w:rPr>
                <w:rFonts w:asciiTheme="majorHAnsi" w:hAnsiTheme="majorHAnsi"/>
                <w:sz w:val="20"/>
                <w:szCs w:val="20"/>
              </w:rPr>
            </w:pPr>
            <w:r w:rsidRPr="00EB5A40">
              <w:rPr>
                <w:rFonts w:asciiTheme="majorHAnsi" w:hAnsiTheme="majorHAnsi"/>
                <w:sz w:val="20"/>
                <w:szCs w:val="20"/>
              </w:rPr>
              <w:t>462</w:t>
            </w:r>
          </w:p>
        </w:tc>
        <w:tc>
          <w:tcPr>
            <w:tcW w:w="2018" w:type="dxa"/>
          </w:tcPr>
          <w:p w14:paraId="2F9F2D7C" w14:textId="77777777" w:rsidR="00A07392" w:rsidRPr="00EB5A40" w:rsidRDefault="00A07392" w:rsidP="00A07392">
            <w:pPr>
              <w:pStyle w:val="TableParagraph"/>
              <w:keepNext/>
              <w:keepLines/>
              <w:spacing w:before="31" w:line="212" w:lineRule="exact"/>
              <w:ind w:left="338" w:right="338" w:hanging="720"/>
              <w:outlineLvl w:val="8"/>
              <w:rPr>
                <w:rFonts w:asciiTheme="majorHAnsi" w:hAnsiTheme="majorHAnsi"/>
                <w:sz w:val="20"/>
                <w:szCs w:val="20"/>
              </w:rPr>
            </w:pPr>
            <w:r w:rsidRPr="00EB5A40">
              <w:rPr>
                <w:rFonts w:asciiTheme="majorHAnsi" w:hAnsiTheme="majorHAnsi"/>
                <w:sz w:val="20"/>
                <w:szCs w:val="20"/>
              </w:rPr>
              <w:t>98.28%</w:t>
            </w:r>
          </w:p>
        </w:tc>
      </w:tr>
      <w:tr w:rsidR="00A07392" w:rsidRPr="00C114D4" w14:paraId="114F139B" w14:textId="77777777" w:rsidTr="00EB5A40">
        <w:trPr>
          <w:trHeight w:val="260"/>
          <w:jc w:val="center"/>
        </w:trPr>
        <w:tc>
          <w:tcPr>
            <w:tcW w:w="2198" w:type="dxa"/>
          </w:tcPr>
          <w:p w14:paraId="1702309A" w14:textId="77777777" w:rsidR="00A07392" w:rsidRPr="00EB5A40" w:rsidRDefault="00A07392" w:rsidP="00A07392">
            <w:pPr>
              <w:pStyle w:val="TableParagraph"/>
              <w:keepNext/>
              <w:keepLines/>
              <w:spacing w:before="31" w:line="213" w:lineRule="exact"/>
              <w:ind w:left="892" w:hanging="720"/>
              <w:jc w:val="left"/>
              <w:outlineLvl w:val="8"/>
              <w:rPr>
                <w:rFonts w:asciiTheme="majorHAnsi" w:hAnsiTheme="majorHAnsi"/>
                <w:sz w:val="20"/>
                <w:szCs w:val="20"/>
              </w:rPr>
            </w:pPr>
            <w:r w:rsidRPr="00EB5A40">
              <w:rPr>
                <w:rFonts w:asciiTheme="majorHAnsi" w:hAnsiTheme="majorHAnsi"/>
                <w:sz w:val="20"/>
                <w:szCs w:val="20"/>
              </w:rPr>
              <w:t>1990</w:t>
            </w:r>
          </w:p>
        </w:tc>
        <w:tc>
          <w:tcPr>
            <w:tcW w:w="1980" w:type="dxa"/>
          </w:tcPr>
          <w:p w14:paraId="4A0F473B" w14:textId="77777777" w:rsidR="00A07392" w:rsidRPr="00EB5A40" w:rsidRDefault="00A07392" w:rsidP="00A07392">
            <w:pPr>
              <w:pStyle w:val="TableParagraph"/>
              <w:keepNext/>
              <w:keepLines/>
              <w:spacing w:before="31" w:line="213" w:lineRule="exact"/>
              <w:ind w:left="509" w:right="509" w:hanging="720"/>
              <w:outlineLvl w:val="8"/>
              <w:rPr>
                <w:rFonts w:asciiTheme="majorHAnsi" w:hAnsiTheme="majorHAnsi"/>
                <w:sz w:val="20"/>
                <w:szCs w:val="20"/>
              </w:rPr>
            </w:pPr>
            <w:r w:rsidRPr="00EB5A40">
              <w:rPr>
                <w:rFonts w:asciiTheme="majorHAnsi" w:hAnsiTheme="majorHAnsi"/>
                <w:sz w:val="20"/>
                <w:szCs w:val="20"/>
              </w:rPr>
              <w:t>607</w:t>
            </w:r>
          </w:p>
        </w:tc>
        <w:tc>
          <w:tcPr>
            <w:tcW w:w="2018" w:type="dxa"/>
          </w:tcPr>
          <w:p w14:paraId="472C809E" w14:textId="77777777" w:rsidR="00A07392" w:rsidRPr="00EB5A40" w:rsidRDefault="00A07392" w:rsidP="00A07392">
            <w:pPr>
              <w:pStyle w:val="TableParagraph"/>
              <w:keepNext/>
              <w:keepLines/>
              <w:spacing w:before="31" w:line="213" w:lineRule="exact"/>
              <w:ind w:left="338" w:right="338" w:hanging="720"/>
              <w:outlineLvl w:val="8"/>
              <w:rPr>
                <w:rFonts w:asciiTheme="majorHAnsi" w:hAnsiTheme="majorHAnsi"/>
                <w:sz w:val="20"/>
                <w:szCs w:val="20"/>
              </w:rPr>
            </w:pPr>
            <w:r w:rsidRPr="00EB5A40">
              <w:rPr>
                <w:rFonts w:asciiTheme="majorHAnsi" w:hAnsiTheme="majorHAnsi"/>
                <w:sz w:val="20"/>
                <w:szCs w:val="20"/>
              </w:rPr>
              <w:t>31.39%</w:t>
            </w:r>
          </w:p>
        </w:tc>
      </w:tr>
      <w:tr w:rsidR="00A07392" w:rsidRPr="00C114D4" w14:paraId="118D9276" w14:textId="77777777" w:rsidTr="00EB5A40">
        <w:trPr>
          <w:trHeight w:val="260"/>
          <w:jc w:val="center"/>
        </w:trPr>
        <w:tc>
          <w:tcPr>
            <w:tcW w:w="2198" w:type="dxa"/>
          </w:tcPr>
          <w:p w14:paraId="21AFCB7F" w14:textId="77777777" w:rsidR="00A07392" w:rsidRPr="00EB5A40" w:rsidRDefault="00A07392" w:rsidP="00A07392">
            <w:pPr>
              <w:pStyle w:val="TableParagraph"/>
              <w:keepNext/>
              <w:keepLines/>
              <w:spacing w:before="31" w:line="212" w:lineRule="exact"/>
              <w:ind w:left="892" w:hanging="720"/>
              <w:jc w:val="left"/>
              <w:outlineLvl w:val="8"/>
              <w:rPr>
                <w:rFonts w:asciiTheme="majorHAnsi" w:hAnsiTheme="majorHAnsi"/>
                <w:sz w:val="20"/>
                <w:szCs w:val="20"/>
              </w:rPr>
            </w:pPr>
            <w:r w:rsidRPr="00EB5A40">
              <w:rPr>
                <w:rFonts w:asciiTheme="majorHAnsi" w:hAnsiTheme="majorHAnsi"/>
                <w:sz w:val="20"/>
                <w:szCs w:val="20"/>
              </w:rPr>
              <w:t>2000</w:t>
            </w:r>
          </w:p>
        </w:tc>
        <w:tc>
          <w:tcPr>
            <w:tcW w:w="1980" w:type="dxa"/>
          </w:tcPr>
          <w:p w14:paraId="701E84BA" w14:textId="77777777" w:rsidR="00A07392" w:rsidRPr="00EB5A40" w:rsidRDefault="00A07392" w:rsidP="00A07392">
            <w:pPr>
              <w:pStyle w:val="TableParagraph"/>
              <w:keepNext/>
              <w:keepLines/>
              <w:spacing w:before="31" w:line="212" w:lineRule="exact"/>
              <w:ind w:left="509" w:right="509" w:hanging="720"/>
              <w:outlineLvl w:val="8"/>
              <w:rPr>
                <w:rFonts w:asciiTheme="majorHAnsi" w:hAnsiTheme="majorHAnsi"/>
                <w:sz w:val="20"/>
                <w:szCs w:val="20"/>
              </w:rPr>
            </w:pPr>
            <w:r w:rsidRPr="00EB5A40">
              <w:rPr>
                <w:rFonts w:asciiTheme="majorHAnsi" w:hAnsiTheme="majorHAnsi"/>
                <w:sz w:val="20"/>
                <w:szCs w:val="20"/>
              </w:rPr>
              <w:t>743</w:t>
            </w:r>
          </w:p>
        </w:tc>
        <w:tc>
          <w:tcPr>
            <w:tcW w:w="2018" w:type="dxa"/>
          </w:tcPr>
          <w:p w14:paraId="5DD6B93F" w14:textId="77777777" w:rsidR="00A07392" w:rsidRPr="00EB5A40" w:rsidRDefault="00A07392" w:rsidP="00A07392">
            <w:pPr>
              <w:pStyle w:val="TableParagraph"/>
              <w:keepNext/>
              <w:keepLines/>
              <w:spacing w:before="31" w:line="212" w:lineRule="exact"/>
              <w:ind w:left="338" w:right="338" w:hanging="720"/>
              <w:outlineLvl w:val="8"/>
              <w:rPr>
                <w:rFonts w:asciiTheme="majorHAnsi" w:hAnsiTheme="majorHAnsi"/>
                <w:sz w:val="20"/>
                <w:szCs w:val="20"/>
              </w:rPr>
            </w:pPr>
            <w:r w:rsidRPr="00EB5A40">
              <w:rPr>
                <w:rFonts w:asciiTheme="majorHAnsi" w:hAnsiTheme="majorHAnsi"/>
                <w:sz w:val="20"/>
                <w:szCs w:val="20"/>
              </w:rPr>
              <w:t>22.41%</w:t>
            </w:r>
          </w:p>
        </w:tc>
      </w:tr>
      <w:tr w:rsidR="00A07392" w:rsidRPr="00C114D4" w14:paraId="20929DAC" w14:textId="77777777" w:rsidTr="00EB5A40">
        <w:trPr>
          <w:trHeight w:val="260"/>
          <w:jc w:val="center"/>
        </w:trPr>
        <w:tc>
          <w:tcPr>
            <w:tcW w:w="2198" w:type="dxa"/>
          </w:tcPr>
          <w:p w14:paraId="7F3873E8" w14:textId="77777777" w:rsidR="00A07392" w:rsidRPr="00EB5A40" w:rsidRDefault="00A07392" w:rsidP="00A07392">
            <w:pPr>
              <w:pStyle w:val="TableParagraph"/>
              <w:keepNext/>
              <w:keepLines/>
              <w:spacing w:before="31" w:line="212" w:lineRule="exact"/>
              <w:ind w:left="892" w:hanging="720"/>
              <w:jc w:val="left"/>
              <w:outlineLvl w:val="8"/>
              <w:rPr>
                <w:rFonts w:asciiTheme="majorHAnsi" w:hAnsiTheme="majorHAnsi"/>
                <w:sz w:val="20"/>
                <w:szCs w:val="20"/>
              </w:rPr>
            </w:pPr>
            <w:r w:rsidRPr="00EB5A40">
              <w:rPr>
                <w:rFonts w:asciiTheme="majorHAnsi" w:hAnsiTheme="majorHAnsi"/>
                <w:sz w:val="20"/>
                <w:szCs w:val="20"/>
              </w:rPr>
              <w:t>2010</w:t>
            </w:r>
          </w:p>
        </w:tc>
        <w:tc>
          <w:tcPr>
            <w:tcW w:w="1980" w:type="dxa"/>
          </w:tcPr>
          <w:p w14:paraId="33C39094" w14:textId="77777777" w:rsidR="00A07392" w:rsidRPr="00EB5A40" w:rsidRDefault="00A07392" w:rsidP="00A07392">
            <w:pPr>
              <w:pStyle w:val="TableParagraph"/>
              <w:keepNext/>
              <w:keepLines/>
              <w:spacing w:before="31" w:line="212" w:lineRule="exact"/>
              <w:ind w:left="509" w:right="509" w:hanging="720"/>
              <w:outlineLvl w:val="8"/>
              <w:rPr>
                <w:rFonts w:asciiTheme="majorHAnsi" w:hAnsiTheme="majorHAnsi"/>
                <w:sz w:val="20"/>
                <w:szCs w:val="20"/>
              </w:rPr>
            </w:pPr>
            <w:r w:rsidRPr="00EB5A40">
              <w:rPr>
                <w:rFonts w:asciiTheme="majorHAnsi" w:hAnsiTheme="majorHAnsi"/>
                <w:sz w:val="20"/>
                <w:szCs w:val="20"/>
              </w:rPr>
              <w:t>921</w:t>
            </w:r>
          </w:p>
        </w:tc>
        <w:tc>
          <w:tcPr>
            <w:tcW w:w="2018" w:type="dxa"/>
          </w:tcPr>
          <w:p w14:paraId="708E5CFF" w14:textId="279EFEE7" w:rsidR="00A07392" w:rsidRPr="00EB5A40" w:rsidRDefault="003966DA" w:rsidP="00A07392">
            <w:pPr>
              <w:pStyle w:val="TableParagraph"/>
              <w:keepNext/>
              <w:keepLines/>
              <w:spacing w:before="31" w:line="212" w:lineRule="exact"/>
              <w:ind w:left="338" w:right="338" w:hanging="720"/>
              <w:outlineLvl w:val="8"/>
              <w:rPr>
                <w:rFonts w:asciiTheme="majorHAnsi" w:hAnsiTheme="majorHAnsi"/>
                <w:sz w:val="20"/>
                <w:szCs w:val="20"/>
              </w:rPr>
            </w:pPr>
            <w:r w:rsidRPr="00EB5A40">
              <w:rPr>
                <w:rFonts w:asciiTheme="majorHAnsi" w:hAnsiTheme="majorHAnsi"/>
                <w:sz w:val="20"/>
                <w:szCs w:val="20"/>
              </w:rPr>
              <w:t>23.96</w:t>
            </w:r>
            <w:r w:rsidR="00A07392" w:rsidRPr="00EB5A40">
              <w:rPr>
                <w:rFonts w:asciiTheme="majorHAnsi" w:hAnsiTheme="majorHAnsi"/>
                <w:sz w:val="20"/>
                <w:szCs w:val="20"/>
              </w:rPr>
              <w:t>%</w:t>
            </w:r>
          </w:p>
        </w:tc>
      </w:tr>
      <w:tr w:rsidR="00A07392" w:rsidRPr="00C114D4" w14:paraId="632E552B" w14:textId="77777777" w:rsidTr="00EB5A40">
        <w:trPr>
          <w:trHeight w:val="260"/>
          <w:jc w:val="center"/>
        </w:trPr>
        <w:tc>
          <w:tcPr>
            <w:tcW w:w="2198" w:type="dxa"/>
          </w:tcPr>
          <w:p w14:paraId="33B78CDA" w14:textId="034B3A23" w:rsidR="00A07392" w:rsidRPr="00EB5A40" w:rsidRDefault="002C602D" w:rsidP="00A07392">
            <w:pPr>
              <w:pStyle w:val="TableParagraph"/>
              <w:keepNext/>
              <w:keepLines/>
              <w:spacing w:before="31" w:line="212" w:lineRule="exact"/>
              <w:ind w:left="892" w:hanging="720"/>
              <w:jc w:val="left"/>
              <w:outlineLvl w:val="8"/>
              <w:rPr>
                <w:rFonts w:asciiTheme="majorHAnsi" w:hAnsiTheme="majorHAnsi"/>
                <w:sz w:val="20"/>
                <w:szCs w:val="20"/>
              </w:rPr>
            </w:pPr>
            <w:r w:rsidRPr="00EB5A40">
              <w:rPr>
                <w:rFonts w:asciiTheme="majorHAnsi" w:hAnsiTheme="majorHAnsi"/>
                <w:sz w:val="20"/>
                <w:szCs w:val="20"/>
              </w:rPr>
              <w:t>2015</w:t>
            </w:r>
            <w:r w:rsidR="00A07392" w:rsidRPr="00EB5A40">
              <w:rPr>
                <w:rFonts w:asciiTheme="majorHAnsi" w:hAnsiTheme="majorHAnsi"/>
                <w:sz w:val="20"/>
                <w:szCs w:val="20"/>
              </w:rPr>
              <w:t xml:space="preserve"> (est.)</w:t>
            </w:r>
          </w:p>
        </w:tc>
        <w:tc>
          <w:tcPr>
            <w:tcW w:w="1980" w:type="dxa"/>
          </w:tcPr>
          <w:p w14:paraId="23A357F8" w14:textId="020B4A99" w:rsidR="00A07392" w:rsidRPr="00EB5A40" w:rsidRDefault="002C602D" w:rsidP="00A07392">
            <w:pPr>
              <w:pStyle w:val="TableParagraph"/>
              <w:keepNext/>
              <w:keepLines/>
              <w:spacing w:before="31" w:line="212" w:lineRule="exact"/>
              <w:ind w:left="509" w:right="509" w:hanging="720"/>
              <w:outlineLvl w:val="8"/>
              <w:rPr>
                <w:rFonts w:asciiTheme="majorHAnsi" w:hAnsiTheme="majorHAnsi"/>
                <w:sz w:val="20"/>
                <w:szCs w:val="20"/>
              </w:rPr>
            </w:pPr>
            <w:r w:rsidRPr="00EB5A40">
              <w:rPr>
                <w:rFonts w:asciiTheme="majorHAnsi" w:hAnsiTheme="majorHAnsi"/>
                <w:sz w:val="20"/>
                <w:szCs w:val="20"/>
              </w:rPr>
              <w:t>776</w:t>
            </w:r>
          </w:p>
        </w:tc>
        <w:tc>
          <w:tcPr>
            <w:tcW w:w="2018" w:type="dxa"/>
          </w:tcPr>
          <w:p w14:paraId="4C729797" w14:textId="4D010C57" w:rsidR="00A07392" w:rsidRPr="00EB5A40" w:rsidRDefault="003966DA" w:rsidP="00A07392">
            <w:pPr>
              <w:pStyle w:val="TableParagraph"/>
              <w:keepNext/>
              <w:keepLines/>
              <w:spacing w:before="31" w:line="212" w:lineRule="exact"/>
              <w:ind w:left="338" w:right="338" w:hanging="720"/>
              <w:outlineLvl w:val="8"/>
              <w:rPr>
                <w:rFonts w:asciiTheme="majorHAnsi" w:hAnsiTheme="majorHAnsi"/>
                <w:sz w:val="20"/>
                <w:szCs w:val="20"/>
              </w:rPr>
            </w:pPr>
            <w:r w:rsidRPr="00EB5A40">
              <w:rPr>
                <w:rFonts w:asciiTheme="majorHAnsi" w:hAnsiTheme="majorHAnsi"/>
                <w:sz w:val="20"/>
                <w:szCs w:val="20"/>
              </w:rPr>
              <w:t>-15.74</w:t>
            </w:r>
          </w:p>
        </w:tc>
      </w:tr>
    </w:tbl>
    <w:p w14:paraId="160A8019" w14:textId="4FFB3DD2" w:rsidR="0054649C" w:rsidRDefault="0054649C" w:rsidP="00EB5A40">
      <w:pPr>
        <w:spacing w:after="120"/>
        <w:rPr>
          <w:u w:val="single"/>
        </w:rPr>
      </w:pPr>
    </w:p>
    <w:p w14:paraId="25DAA10A" w14:textId="15844295" w:rsidR="00807C5D" w:rsidRDefault="00220EDE" w:rsidP="00EB5A40">
      <w:pPr>
        <w:spacing w:after="240"/>
      </w:pPr>
      <w:r>
        <w:tab/>
        <w:t xml:space="preserve">The Table </w:t>
      </w:r>
      <w:r w:rsidR="00807C5D">
        <w:t>above</w:t>
      </w:r>
      <w:r>
        <w:t xml:space="preserve"> shows rates of change in population</w:t>
      </w:r>
      <w:r w:rsidR="0069325E">
        <w:t xml:space="preserve"> from 1960 to present.  Earlier 2010 Census projections through 2019 pegged Clifton as growing to nearly 1000. </w:t>
      </w:r>
      <w:r>
        <w:t xml:space="preserve"> </w:t>
      </w:r>
      <w:r w:rsidR="00495F8E">
        <w:t xml:space="preserve">(With actual mid-Census numbers available, those projections are no longer showing on the table or chart.)  </w:t>
      </w:r>
      <w:r>
        <w:t xml:space="preserve">It reveals that Clifton’s population and growth rate changes do not follow the same curve as the nearby towns of Eddington and Holden, Penobscot County as a whole, or the State. </w:t>
      </w:r>
      <w:r w:rsidR="004110D0">
        <w:t xml:space="preserve"> </w:t>
      </w:r>
      <w:r>
        <w:t xml:space="preserve">In the past 50 years Clifton has experienced a population growth </w:t>
      </w:r>
      <w:r w:rsidR="00495F8E">
        <w:t>not similar to its neighbors or in alignment with regional or neighboring communities</w:t>
      </w:r>
      <w:r>
        <w:t xml:space="preserve">. </w:t>
      </w:r>
      <w:r w:rsidR="004110D0">
        <w:t xml:space="preserve"> </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3F2953" w14:paraId="2F34B13A" w14:textId="77777777" w:rsidTr="00EB5A40">
        <w:trPr>
          <w:tblHeader/>
        </w:trPr>
        <w:tc>
          <w:tcPr>
            <w:tcW w:w="9576" w:type="dxa"/>
            <w:gridSpan w:val="8"/>
            <w:shd w:val="clear" w:color="auto" w:fill="CCFFCC"/>
          </w:tcPr>
          <w:p w14:paraId="28571105" w14:textId="4E612EE1" w:rsidR="003F2953" w:rsidRDefault="003F2953" w:rsidP="00F71812">
            <w:pPr>
              <w:spacing w:after="120"/>
              <w:jc w:val="center"/>
            </w:pPr>
            <w:r w:rsidRPr="004F75DC">
              <w:rPr>
                <w:rFonts w:ascii="Calibri" w:hAnsi="Calibri"/>
                <w:b/>
                <w:bCs/>
                <w:color w:val="000000"/>
                <w:sz w:val="20"/>
                <w:szCs w:val="20"/>
              </w:rPr>
              <w:t>COMPARATIVE RATES OF CHANGE IN POPULATION 1960-2010</w:t>
            </w:r>
          </w:p>
        </w:tc>
      </w:tr>
      <w:tr w:rsidR="003F2953" w14:paraId="1A70AE18" w14:textId="77777777" w:rsidTr="00EB5A40">
        <w:trPr>
          <w:tblHeader/>
        </w:trPr>
        <w:tc>
          <w:tcPr>
            <w:tcW w:w="1197" w:type="dxa"/>
            <w:shd w:val="clear" w:color="auto" w:fill="CCFFCC"/>
          </w:tcPr>
          <w:p w14:paraId="7080A4BD" w14:textId="77777777" w:rsidR="003F2953" w:rsidRDefault="003F2953" w:rsidP="00F71812">
            <w:pPr>
              <w:spacing w:after="120"/>
              <w:jc w:val="center"/>
            </w:pPr>
          </w:p>
        </w:tc>
        <w:tc>
          <w:tcPr>
            <w:tcW w:w="1197" w:type="dxa"/>
            <w:shd w:val="clear" w:color="auto" w:fill="CCFFCC"/>
            <w:vAlign w:val="center"/>
          </w:tcPr>
          <w:p w14:paraId="123CCDFD" w14:textId="53BD731B" w:rsidR="003F2953" w:rsidRDefault="003F2953" w:rsidP="00F71812">
            <w:pPr>
              <w:spacing w:after="120"/>
              <w:jc w:val="center"/>
            </w:pPr>
            <w:r w:rsidRPr="004F75DC">
              <w:rPr>
                <w:rFonts w:ascii="Calibri" w:hAnsi="Calibri"/>
                <w:b/>
                <w:bCs/>
                <w:color w:val="000000"/>
                <w:sz w:val="20"/>
                <w:szCs w:val="20"/>
              </w:rPr>
              <w:t>1960</w:t>
            </w:r>
          </w:p>
        </w:tc>
        <w:tc>
          <w:tcPr>
            <w:tcW w:w="1197" w:type="dxa"/>
            <w:shd w:val="clear" w:color="auto" w:fill="CCFFCC"/>
            <w:vAlign w:val="center"/>
          </w:tcPr>
          <w:p w14:paraId="41B728F8" w14:textId="25F5AD19" w:rsidR="003F2953" w:rsidRDefault="003F2953" w:rsidP="00F71812">
            <w:pPr>
              <w:spacing w:after="120"/>
              <w:jc w:val="center"/>
            </w:pPr>
            <w:r w:rsidRPr="004F75DC">
              <w:rPr>
                <w:rFonts w:ascii="Calibri" w:hAnsi="Calibri"/>
                <w:b/>
                <w:bCs/>
                <w:color w:val="000000"/>
                <w:sz w:val="20"/>
                <w:szCs w:val="20"/>
              </w:rPr>
              <w:t>1970</w:t>
            </w:r>
          </w:p>
        </w:tc>
        <w:tc>
          <w:tcPr>
            <w:tcW w:w="1197" w:type="dxa"/>
            <w:shd w:val="clear" w:color="auto" w:fill="CCFFCC"/>
            <w:vAlign w:val="center"/>
          </w:tcPr>
          <w:p w14:paraId="2AAB8591" w14:textId="5CFE6D33" w:rsidR="003F2953" w:rsidRDefault="003F2953" w:rsidP="00F71812">
            <w:pPr>
              <w:spacing w:after="120"/>
              <w:jc w:val="center"/>
            </w:pPr>
            <w:r w:rsidRPr="004F75DC">
              <w:rPr>
                <w:rFonts w:ascii="Calibri" w:hAnsi="Calibri"/>
                <w:b/>
                <w:bCs/>
                <w:color w:val="000000"/>
                <w:sz w:val="20"/>
                <w:szCs w:val="20"/>
              </w:rPr>
              <w:t>1980</w:t>
            </w:r>
          </w:p>
        </w:tc>
        <w:tc>
          <w:tcPr>
            <w:tcW w:w="1197" w:type="dxa"/>
            <w:shd w:val="clear" w:color="auto" w:fill="CCFFCC"/>
            <w:vAlign w:val="center"/>
          </w:tcPr>
          <w:p w14:paraId="112FCC7E" w14:textId="27B0248E" w:rsidR="003F2953" w:rsidRDefault="003F2953" w:rsidP="00F71812">
            <w:pPr>
              <w:spacing w:after="120"/>
              <w:jc w:val="center"/>
            </w:pPr>
            <w:r w:rsidRPr="004F75DC">
              <w:rPr>
                <w:rFonts w:ascii="Calibri" w:hAnsi="Calibri"/>
                <w:b/>
                <w:bCs/>
                <w:color w:val="000000"/>
                <w:sz w:val="20"/>
                <w:szCs w:val="20"/>
              </w:rPr>
              <w:t>1990</w:t>
            </w:r>
          </w:p>
        </w:tc>
        <w:tc>
          <w:tcPr>
            <w:tcW w:w="1197" w:type="dxa"/>
            <w:shd w:val="clear" w:color="auto" w:fill="CCFFCC"/>
            <w:vAlign w:val="center"/>
          </w:tcPr>
          <w:p w14:paraId="71C4B5D1" w14:textId="2B772C0F" w:rsidR="003F2953" w:rsidRDefault="003F2953" w:rsidP="00F71812">
            <w:pPr>
              <w:spacing w:after="120"/>
              <w:jc w:val="center"/>
            </w:pPr>
            <w:r w:rsidRPr="004F75DC">
              <w:rPr>
                <w:rFonts w:ascii="Calibri" w:hAnsi="Calibri"/>
                <w:b/>
                <w:bCs/>
                <w:color w:val="000000"/>
                <w:sz w:val="20"/>
                <w:szCs w:val="20"/>
              </w:rPr>
              <w:t>2000</w:t>
            </w:r>
          </w:p>
        </w:tc>
        <w:tc>
          <w:tcPr>
            <w:tcW w:w="1197" w:type="dxa"/>
            <w:shd w:val="clear" w:color="auto" w:fill="CCFFCC"/>
            <w:vAlign w:val="center"/>
          </w:tcPr>
          <w:p w14:paraId="22800E09" w14:textId="15E21870" w:rsidR="003F2953" w:rsidRDefault="003F2953" w:rsidP="00F71812">
            <w:pPr>
              <w:spacing w:after="120"/>
              <w:jc w:val="center"/>
            </w:pPr>
            <w:r w:rsidRPr="004F75DC">
              <w:rPr>
                <w:rFonts w:ascii="Calibri" w:hAnsi="Calibri"/>
                <w:b/>
                <w:bCs/>
                <w:color w:val="000000"/>
                <w:sz w:val="20"/>
                <w:szCs w:val="20"/>
              </w:rPr>
              <w:t>2010</w:t>
            </w:r>
          </w:p>
        </w:tc>
        <w:tc>
          <w:tcPr>
            <w:tcW w:w="1197" w:type="dxa"/>
            <w:shd w:val="clear" w:color="auto" w:fill="CCFFCC"/>
            <w:vAlign w:val="center"/>
          </w:tcPr>
          <w:p w14:paraId="25A73388" w14:textId="1DD04420" w:rsidR="003F2953" w:rsidRDefault="003F2953" w:rsidP="00F71812">
            <w:pPr>
              <w:spacing w:after="120"/>
              <w:jc w:val="center"/>
            </w:pPr>
            <w:r w:rsidRPr="004F75DC">
              <w:rPr>
                <w:rFonts w:ascii="Calibri" w:hAnsi="Calibri"/>
                <w:b/>
                <w:bCs/>
                <w:color w:val="000000"/>
                <w:sz w:val="20"/>
                <w:szCs w:val="20"/>
              </w:rPr>
              <w:t>2015</w:t>
            </w:r>
          </w:p>
        </w:tc>
      </w:tr>
      <w:tr w:rsidR="003F2953" w14:paraId="0AD01517" w14:textId="77777777" w:rsidTr="00D50389">
        <w:tc>
          <w:tcPr>
            <w:tcW w:w="1197" w:type="dxa"/>
            <w:vAlign w:val="center"/>
          </w:tcPr>
          <w:p w14:paraId="2C376918" w14:textId="5588B500" w:rsidR="003F2953" w:rsidRPr="004F75DC" w:rsidRDefault="003F2953" w:rsidP="00F71812">
            <w:pPr>
              <w:spacing w:after="120"/>
              <w:jc w:val="center"/>
              <w:rPr>
                <w:rFonts w:ascii="Calibri" w:hAnsi="Calibri"/>
                <w:color w:val="000000"/>
                <w:sz w:val="20"/>
                <w:szCs w:val="20"/>
              </w:rPr>
            </w:pPr>
            <w:r w:rsidRPr="002420CA">
              <w:rPr>
                <w:rFonts w:ascii="Calibri" w:hAnsi="Calibri"/>
                <w:b/>
                <w:bCs/>
                <w:color w:val="000000"/>
                <w:sz w:val="20"/>
                <w:szCs w:val="20"/>
              </w:rPr>
              <w:t>Clifton</w:t>
            </w:r>
          </w:p>
        </w:tc>
        <w:tc>
          <w:tcPr>
            <w:tcW w:w="1197" w:type="dxa"/>
            <w:vAlign w:val="center"/>
          </w:tcPr>
          <w:p w14:paraId="64C77B02" w14:textId="07C71E87"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227</w:t>
            </w:r>
          </w:p>
        </w:tc>
        <w:tc>
          <w:tcPr>
            <w:tcW w:w="1197" w:type="dxa"/>
            <w:vAlign w:val="center"/>
          </w:tcPr>
          <w:p w14:paraId="53C6EBE5" w14:textId="7CEAC947"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233</w:t>
            </w:r>
          </w:p>
        </w:tc>
        <w:tc>
          <w:tcPr>
            <w:tcW w:w="1197" w:type="dxa"/>
            <w:vAlign w:val="center"/>
          </w:tcPr>
          <w:p w14:paraId="115486D0" w14:textId="56389763"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462</w:t>
            </w:r>
          </w:p>
        </w:tc>
        <w:tc>
          <w:tcPr>
            <w:tcW w:w="1197" w:type="dxa"/>
            <w:vAlign w:val="center"/>
          </w:tcPr>
          <w:p w14:paraId="72C48C23" w14:textId="54148EB3"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607</w:t>
            </w:r>
          </w:p>
        </w:tc>
        <w:tc>
          <w:tcPr>
            <w:tcW w:w="1197" w:type="dxa"/>
            <w:vAlign w:val="center"/>
          </w:tcPr>
          <w:p w14:paraId="79410BDA" w14:textId="33B34BC9"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743</w:t>
            </w:r>
          </w:p>
        </w:tc>
        <w:tc>
          <w:tcPr>
            <w:tcW w:w="1197" w:type="dxa"/>
            <w:vAlign w:val="center"/>
          </w:tcPr>
          <w:p w14:paraId="4F70B530" w14:textId="006F20EF"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921</w:t>
            </w:r>
          </w:p>
        </w:tc>
        <w:tc>
          <w:tcPr>
            <w:tcW w:w="1197" w:type="dxa"/>
            <w:vAlign w:val="center"/>
          </w:tcPr>
          <w:p w14:paraId="31E3CA2E" w14:textId="424F2C2B"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776</w:t>
            </w:r>
          </w:p>
        </w:tc>
      </w:tr>
      <w:tr w:rsidR="003F2953" w14:paraId="45F306A0" w14:textId="77777777" w:rsidTr="00D50389">
        <w:tc>
          <w:tcPr>
            <w:tcW w:w="1197" w:type="dxa"/>
            <w:vAlign w:val="center"/>
          </w:tcPr>
          <w:p w14:paraId="747EDC61" w14:textId="1751F7C7" w:rsidR="003F2953" w:rsidRPr="002420CA" w:rsidRDefault="003F2953" w:rsidP="00F71812">
            <w:pPr>
              <w:spacing w:after="120"/>
              <w:jc w:val="center"/>
              <w:rPr>
                <w:rFonts w:ascii="Calibri" w:hAnsi="Calibri"/>
                <w:b/>
                <w:bCs/>
                <w:color w:val="000000"/>
                <w:sz w:val="20"/>
                <w:szCs w:val="20"/>
              </w:rPr>
            </w:pPr>
            <w:r w:rsidRPr="0023162B">
              <w:rPr>
                <w:rFonts w:ascii="Calibri" w:hAnsi="Calibri"/>
                <w:b/>
                <w:color w:val="000000"/>
                <w:sz w:val="20"/>
                <w:szCs w:val="20"/>
              </w:rPr>
              <w:t>Rate</w:t>
            </w:r>
          </w:p>
        </w:tc>
        <w:tc>
          <w:tcPr>
            <w:tcW w:w="1197" w:type="dxa"/>
            <w:vAlign w:val="center"/>
          </w:tcPr>
          <w:p w14:paraId="41D96149" w14:textId="725E4210"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 </w:t>
            </w:r>
          </w:p>
        </w:tc>
        <w:tc>
          <w:tcPr>
            <w:tcW w:w="1197" w:type="dxa"/>
            <w:vAlign w:val="center"/>
          </w:tcPr>
          <w:p w14:paraId="4B7604A9" w14:textId="25196051"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2.64%</w:t>
            </w:r>
          </w:p>
        </w:tc>
        <w:tc>
          <w:tcPr>
            <w:tcW w:w="1197" w:type="dxa"/>
            <w:vAlign w:val="center"/>
          </w:tcPr>
          <w:p w14:paraId="099DAAC1" w14:textId="5990CAAE"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98.28%</w:t>
            </w:r>
          </w:p>
        </w:tc>
        <w:tc>
          <w:tcPr>
            <w:tcW w:w="1197" w:type="dxa"/>
            <w:vAlign w:val="center"/>
          </w:tcPr>
          <w:p w14:paraId="00AC5C0C" w14:textId="22BC6B73"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31.39%</w:t>
            </w:r>
          </w:p>
        </w:tc>
        <w:tc>
          <w:tcPr>
            <w:tcW w:w="1197" w:type="dxa"/>
            <w:vAlign w:val="center"/>
          </w:tcPr>
          <w:p w14:paraId="6F53F918" w14:textId="3172E662"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22.41%</w:t>
            </w:r>
          </w:p>
        </w:tc>
        <w:tc>
          <w:tcPr>
            <w:tcW w:w="1197" w:type="dxa"/>
            <w:vAlign w:val="center"/>
          </w:tcPr>
          <w:p w14:paraId="03880B87" w14:textId="1FFCFBA5"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23.96%</w:t>
            </w:r>
          </w:p>
        </w:tc>
        <w:tc>
          <w:tcPr>
            <w:tcW w:w="1197" w:type="dxa"/>
            <w:vAlign w:val="center"/>
          </w:tcPr>
          <w:p w14:paraId="152EF829" w14:textId="474EABB4"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-15.74%</w:t>
            </w:r>
          </w:p>
        </w:tc>
      </w:tr>
      <w:tr w:rsidR="003F2953" w14:paraId="7648AC17" w14:textId="77777777" w:rsidTr="00D50389">
        <w:tc>
          <w:tcPr>
            <w:tcW w:w="1197" w:type="dxa"/>
            <w:vAlign w:val="center"/>
          </w:tcPr>
          <w:p w14:paraId="436C51A0" w14:textId="5CFEF3A7" w:rsidR="003F2953" w:rsidRPr="0023162B" w:rsidRDefault="003F2953" w:rsidP="00F71812">
            <w:pPr>
              <w:spacing w:after="120"/>
              <w:jc w:val="center"/>
              <w:rPr>
                <w:rFonts w:ascii="Calibri" w:hAnsi="Calibri"/>
                <w:b/>
                <w:color w:val="000000"/>
                <w:sz w:val="20"/>
                <w:szCs w:val="20"/>
              </w:rPr>
            </w:pPr>
            <w:r w:rsidRPr="002420CA">
              <w:rPr>
                <w:rFonts w:ascii="Calibri" w:hAnsi="Calibri"/>
                <w:b/>
                <w:bCs/>
                <w:color w:val="000000"/>
                <w:sz w:val="20"/>
                <w:szCs w:val="20"/>
              </w:rPr>
              <w:t>Eddington</w:t>
            </w:r>
          </w:p>
        </w:tc>
        <w:tc>
          <w:tcPr>
            <w:tcW w:w="1197" w:type="dxa"/>
            <w:vAlign w:val="center"/>
          </w:tcPr>
          <w:p w14:paraId="2D844576" w14:textId="301DEC29"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958</w:t>
            </w:r>
          </w:p>
        </w:tc>
        <w:tc>
          <w:tcPr>
            <w:tcW w:w="1197" w:type="dxa"/>
            <w:vAlign w:val="center"/>
          </w:tcPr>
          <w:p w14:paraId="46698DA5" w14:textId="06F9BD96"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1,358</w:t>
            </w:r>
          </w:p>
        </w:tc>
        <w:tc>
          <w:tcPr>
            <w:tcW w:w="1197" w:type="dxa"/>
            <w:vAlign w:val="center"/>
          </w:tcPr>
          <w:p w14:paraId="5A6BBB3F" w14:textId="35EACB0E"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1,769</w:t>
            </w:r>
          </w:p>
        </w:tc>
        <w:tc>
          <w:tcPr>
            <w:tcW w:w="1197" w:type="dxa"/>
            <w:vAlign w:val="center"/>
          </w:tcPr>
          <w:p w14:paraId="71FB4496" w14:textId="0B7CAE55"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1,947</w:t>
            </w:r>
          </w:p>
        </w:tc>
        <w:tc>
          <w:tcPr>
            <w:tcW w:w="1197" w:type="dxa"/>
            <w:vAlign w:val="center"/>
          </w:tcPr>
          <w:p w14:paraId="4F83337D" w14:textId="4938A8FA"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2,052</w:t>
            </w:r>
          </w:p>
        </w:tc>
        <w:tc>
          <w:tcPr>
            <w:tcW w:w="1197" w:type="dxa"/>
            <w:vAlign w:val="center"/>
          </w:tcPr>
          <w:p w14:paraId="775B2C22" w14:textId="1DB75E35"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2,225</w:t>
            </w:r>
          </w:p>
        </w:tc>
        <w:tc>
          <w:tcPr>
            <w:tcW w:w="1197" w:type="dxa"/>
            <w:vAlign w:val="center"/>
          </w:tcPr>
          <w:p w14:paraId="7FB8F980" w14:textId="1EA5D380"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2,188</w:t>
            </w:r>
          </w:p>
        </w:tc>
      </w:tr>
      <w:tr w:rsidR="003F2953" w14:paraId="5455570E" w14:textId="77777777" w:rsidTr="00D50389">
        <w:tc>
          <w:tcPr>
            <w:tcW w:w="1197" w:type="dxa"/>
            <w:vAlign w:val="center"/>
          </w:tcPr>
          <w:p w14:paraId="1561EEA1" w14:textId="68F98EBF" w:rsidR="003F2953" w:rsidRPr="002420CA" w:rsidRDefault="003F2953" w:rsidP="00F71812">
            <w:pPr>
              <w:spacing w:after="120"/>
              <w:jc w:val="center"/>
              <w:rPr>
                <w:rFonts w:ascii="Calibri" w:hAnsi="Calibri"/>
                <w:b/>
                <w:bCs/>
                <w:color w:val="000000"/>
                <w:sz w:val="20"/>
                <w:szCs w:val="20"/>
              </w:rPr>
            </w:pPr>
            <w:r w:rsidRPr="0023162B">
              <w:rPr>
                <w:rFonts w:ascii="Calibri" w:hAnsi="Calibri"/>
                <w:b/>
                <w:color w:val="000000"/>
                <w:sz w:val="20"/>
                <w:szCs w:val="20"/>
              </w:rPr>
              <w:t>Rate</w:t>
            </w:r>
          </w:p>
        </w:tc>
        <w:tc>
          <w:tcPr>
            <w:tcW w:w="1197" w:type="dxa"/>
            <w:vAlign w:val="center"/>
          </w:tcPr>
          <w:p w14:paraId="690C5161" w14:textId="5AAF8A79"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 </w:t>
            </w:r>
          </w:p>
        </w:tc>
        <w:tc>
          <w:tcPr>
            <w:tcW w:w="1197" w:type="dxa"/>
            <w:vAlign w:val="center"/>
          </w:tcPr>
          <w:p w14:paraId="189AED9A" w14:textId="1B602DE8"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41.75%</w:t>
            </w:r>
          </w:p>
        </w:tc>
        <w:tc>
          <w:tcPr>
            <w:tcW w:w="1197" w:type="dxa"/>
            <w:vAlign w:val="center"/>
          </w:tcPr>
          <w:p w14:paraId="0A99EDFD" w14:textId="53CDF0FA"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30.27%</w:t>
            </w:r>
          </w:p>
        </w:tc>
        <w:tc>
          <w:tcPr>
            <w:tcW w:w="1197" w:type="dxa"/>
            <w:vAlign w:val="center"/>
          </w:tcPr>
          <w:p w14:paraId="4E4BA97F" w14:textId="1EA27C8A"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10.06%</w:t>
            </w:r>
          </w:p>
        </w:tc>
        <w:tc>
          <w:tcPr>
            <w:tcW w:w="1197" w:type="dxa"/>
            <w:vAlign w:val="center"/>
          </w:tcPr>
          <w:p w14:paraId="47B25BE1" w14:textId="5A908C2E"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5.39%</w:t>
            </w:r>
          </w:p>
        </w:tc>
        <w:tc>
          <w:tcPr>
            <w:tcW w:w="1197" w:type="dxa"/>
            <w:vAlign w:val="center"/>
          </w:tcPr>
          <w:p w14:paraId="207BB26A" w14:textId="765E9693"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8.43%</w:t>
            </w:r>
          </w:p>
        </w:tc>
        <w:tc>
          <w:tcPr>
            <w:tcW w:w="1197" w:type="dxa"/>
            <w:vAlign w:val="center"/>
          </w:tcPr>
          <w:p w14:paraId="447840A8" w14:textId="25C38BC0"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-1.66%</w:t>
            </w:r>
          </w:p>
        </w:tc>
      </w:tr>
      <w:tr w:rsidR="003F2953" w14:paraId="3AC92019" w14:textId="77777777" w:rsidTr="00D50389">
        <w:tc>
          <w:tcPr>
            <w:tcW w:w="1197" w:type="dxa"/>
            <w:vAlign w:val="center"/>
          </w:tcPr>
          <w:p w14:paraId="79EA72D4" w14:textId="50E133D3" w:rsidR="003F2953" w:rsidRPr="0023162B" w:rsidRDefault="003F2953" w:rsidP="00F71812">
            <w:pPr>
              <w:spacing w:after="120"/>
              <w:jc w:val="center"/>
              <w:rPr>
                <w:rFonts w:ascii="Calibri" w:hAnsi="Calibri"/>
                <w:b/>
                <w:color w:val="000000"/>
                <w:sz w:val="20"/>
                <w:szCs w:val="20"/>
              </w:rPr>
            </w:pPr>
            <w:r w:rsidRPr="002420CA">
              <w:rPr>
                <w:rFonts w:ascii="Calibri" w:hAnsi="Calibri"/>
                <w:b/>
                <w:bCs/>
                <w:color w:val="000000"/>
                <w:sz w:val="20"/>
                <w:szCs w:val="20"/>
              </w:rPr>
              <w:t>Holden</w:t>
            </w:r>
          </w:p>
        </w:tc>
        <w:tc>
          <w:tcPr>
            <w:tcW w:w="1197" w:type="dxa"/>
            <w:vAlign w:val="center"/>
          </w:tcPr>
          <w:p w14:paraId="3244227B" w14:textId="59D51273"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1,375</w:t>
            </w:r>
          </w:p>
        </w:tc>
        <w:tc>
          <w:tcPr>
            <w:tcW w:w="1197" w:type="dxa"/>
            <w:vAlign w:val="center"/>
          </w:tcPr>
          <w:p w14:paraId="7AEB9F13" w14:textId="5E31AD7A"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1,841</w:t>
            </w:r>
          </w:p>
        </w:tc>
        <w:tc>
          <w:tcPr>
            <w:tcW w:w="1197" w:type="dxa"/>
            <w:vAlign w:val="center"/>
          </w:tcPr>
          <w:p w14:paraId="3C42864D" w14:textId="32D90A25"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2,554</w:t>
            </w:r>
          </w:p>
        </w:tc>
        <w:tc>
          <w:tcPr>
            <w:tcW w:w="1197" w:type="dxa"/>
            <w:vAlign w:val="center"/>
          </w:tcPr>
          <w:p w14:paraId="5F270F1D" w14:textId="4B670BB3"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2,951</w:t>
            </w:r>
          </w:p>
        </w:tc>
        <w:tc>
          <w:tcPr>
            <w:tcW w:w="1197" w:type="dxa"/>
            <w:vAlign w:val="center"/>
          </w:tcPr>
          <w:p w14:paraId="787BAEE3" w14:textId="4B38BF33"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2,827</w:t>
            </w:r>
          </w:p>
        </w:tc>
        <w:tc>
          <w:tcPr>
            <w:tcW w:w="1197" w:type="dxa"/>
            <w:vAlign w:val="center"/>
          </w:tcPr>
          <w:p w14:paraId="3BF1351F" w14:textId="5B0BD3F4"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3,076</w:t>
            </w:r>
          </w:p>
        </w:tc>
        <w:tc>
          <w:tcPr>
            <w:tcW w:w="1197" w:type="dxa"/>
            <w:vAlign w:val="center"/>
          </w:tcPr>
          <w:p w14:paraId="2F8FCD70" w14:textId="6FCF1BF8"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3,080</w:t>
            </w:r>
          </w:p>
        </w:tc>
      </w:tr>
      <w:tr w:rsidR="003F2953" w14:paraId="0316A74C" w14:textId="77777777" w:rsidTr="00EB5A40">
        <w:tc>
          <w:tcPr>
            <w:tcW w:w="1197" w:type="dxa"/>
            <w:tcBorders>
              <w:bottom w:val="single" w:sz="4" w:space="0" w:color="auto"/>
            </w:tcBorders>
            <w:vAlign w:val="center"/>
          </w:tcPr>
          <w:p w14:paraId="1545D26B" w14:textId="171CCA41" w:rsidR="003F2953" w:rsidRPr="002420CA" w:rsidRDefault="003F2953" w:rsidP="00F71812">
            <w:pPr>
              <w:spacing w:after="120"/>
              <w:jc w:val="center"/>
              <w:rPr>
                <w:rFonts w:ascii="Calibri" w:hAnsi="Calibri"/>
                <w:b/>
                <w:bCs/>
                <w:color w:val="000000"/>
                <w:sz w:val="20"/>
                <w:szCs w:val="20"/>
              </w:rPr>
            </w:pPr>
            <w:r w:rsidRPr="0023162B">
              <w:rPr>
                <w:rFonts w:ascii="Calibri" w:hAnsi="Calibri"/>
                <w:b/>
                <w:color w:val="000000"/>
                <w:sz w:val="20"/>
                <w:szCs w:val="20"/>
              </w:rPr>
              <w:t>Rate</w:t>
            </w:r>
          </w:p>
        </w:tc>
        <w:tc>
          <w:tcPr>
            <w:tcW w:w="1197" w:type="dxa"/>
            <w:tcBorders>
              <w:bottom w:val="single" w:sz="4" w:space="0" w:color="auto"/>
            </w:tcBorders>
            <w:vAlign w:val="center"/>
          </w:tcPr>
          <w:p w14:paraId="32A61256" w14:textId="7770DB3F"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 </w:t>
            </w:r>
          </w:p>
        </w:tc>
        <w:tc>
          <w:tcPr>
            <w:tcW w:w="1197" w:type="dxa"/>
            <w:tcBorders>
              <w:bottom w:val="single" w:sz="4" w:space="0" w:color="auto"/>
            </w:tcBorders>
            <w:vAlign w:val="center"/>
          </w:tcPr>
          <w:p w14:paraId="281A4150" w14:textId="3F97FE4B"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33.89%</w:t>
            </w:r>
          </w:p>
        </w:tc>
        <w:tc>
          <w:tcPr>
            <w:tcW w:w="1197" w:type="dxa"/>
            <w:tcBorders>
              <w:bottom w:val="single" w:sz="4" w:space="0" w:color="auto"/>
            </w:tcBorders>
            <w:vAlign w:val="center"/>
          </w:tcPr>
          <w:p w14:paraId="12486C43" w14:textId="45034735"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38.73%</w:t>
            </w:r>
          </w:p>
        </w:tc>
        <w:tc>
          <w:tcPr>
            <w:tcW w:w="1197" w:type="dxa"/>
            <w:tcBorders>
              <w:bottom w:val="single" w:sz="4" w:space="0" w:color="auto"/>
            </w:tcBorders>
            <w:vAlign w:val="center"/>
          </w:tcPr>
          <w:p w14:paraId="7F6E03C7" w14:textId="29CF8C6E"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15.54%</w:t>
            </w:r>
          </w:p>
        </w:tc>
        <w:tc>
          <w:tcPr>
            <w:tcW w:w="1197" w:type="dxa"/>
            <w:tcBorders>
              <w:bottom w:val="single" w:sz="4" w:space="0" w:color="auto"/>
            </w:tcBorders>
            <w:vAlign w:val="center"/>
          </w:tcPr>
          <w:p w14:paraId="3A93E766" w14:textId="1A4B1914"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-4.20%</w:t>
            </w:r>
          </w:p>
        </w:tc>
        <w:tc>
          <w:tcPr>
            <w:tcW w:w="1197" w:type="dxa"/>
            <w:tcBorders>
              <w:bottom w:val="single" w:sz="4" w:space="0" w:color="auto"/>
            </w:tcBorders>
            <w:vAlign w:val="center"/>
          </w:tcPr>
          <w:p w14:paraId="57210281" w14:textId="4E0DC1D2"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8.81%</w:t>
            </w:r>
          </w:p>
        </w:tc>
        <w:tc>
          <w:tcPr>
            <w:tcW w:w="1197" w:type="dxa"/>
            <w:tcBorders>
              <w:bottom w:val="single" w:sz="4" w:space="0" w:color="auto"/>
            </w:tcBorders>
            <w:vAlign w:val="center"/>
          </w:tcPr>
          <w:p w14:paraId="2869EF86" w14:textId="00D17FEB"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0.13%</w:t>
            </w:r>
          </w:p>
        </w:tc>
      </w:tr>
      <w:tr w:rsidR="003F2953" w14:paraId="420A63EF" w14:textId="77777777" w:rsidTr="00EB5A40">
        <w:tc>
          <w:tcPr>
            <w:tcW w:w="1197" w:type="dxa"/>
            <w:shd w:val="clear" w:color="auto" w:fill="E6E6E6"/>
            <w:vAlign w:val="center"/>
          </w:tcPr>
          <w:p w14:paraId="26D3391D" w14:textId="23A8A27D" w:rsidR="003F2953" w:rsidRPr="0023162B" w:rsidRDefault="003F2953" w:rsidP="00F71812">
            <w:pPr>
              <w:spacing w:after="120"/>
              <w:jc w:val="center"/>
              <w:rPr>
                <w:rFonts w:ascii="Calibri" w:hAnsi="Calibri"/>
                <w:b/>
                <w:color w:val="000000"/>
                <w:sz w:val="20"/>
                <w:szCs w:val="20"/>
              </w:rPr>
            </w:pPr>
            <w:r w:rsidRPr="002420CA">
              <w:rPr>
                <w:rFonts w:ascii="Calibri" w:hAnsi="Calibri"/>
                <w:b/>
                <w:bCs/>
                <w:color w:val="000000"/>
                <w:sz w:val="20"/>
                <w:szCs w:val="20"/>
              </w:rPr>
              <w:t>Penobscot County</w:t>
            </w:r>
          </w:p>
        </w:tc>
        <w:tc>
          <w:tcPr>
            <w:tcW w:w="1197" w:type="dxa"/>
            <w:shd w:val="clear" w:color="auto" w:fill="E6E6E6"/>
            <w:vAlign w:val="center"/>
          </w:tcPr>
          <w:p w14:paraId="1042D013" w14:textId="0024F9B2"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126,346</w:t>
            </w:r>
          </w:p>
        </w:tc>
        <w:tc>
          <w:tcPr>
            <w:tcW w:w="1197" w:type="dxa"/>
            <w:shd w:val="clear" w:color="auto" w:fill="E6E6E6"/>
            <w:vAlign w:val="center"/>
          </w:tcPr>
          <w:p w14:paraId="6E3527C4" w14:textId="258BD24C"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125,393</w:t>
            </w:r>
          </w:p>
        </w:tc>
        <w:tc>
          <w:tcPr>
            <w:tcW w:w="1197" w:type="dxa"/>
            <w:shd w:val="clear" w:color="auto" w:fill="E6E6E6"/>
            <w:vAlign w:val="center"/>
          </w:tcPr>
          <w:p w14:paraId="08437342" w14:textId="000F682B"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137,015</w:t>
            </w:r>
          </w:p>
        </w:tc>
        <w:tc>
          <w:tcPr>
            <w:tcW w:w="1197" w:type="dxa"/>
            <w:shd w:val="clear" w:color="auto" w:fill="E6E6E6"/>
            <w:vAlign w:val="center"/>
          </w:tcPr>
          <w:p w14:paraId="1EA95191" w14:textId="6A1BEA52"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146,601</w:t>
            </w:r>
          </w:p>
        </w:tc>
        <w:tc>
          <w:tcPr>
            <w:tcW w:w="1197" w:type="dxa"/>
            <w:shd w:val="clear" w:color="auto" w:fill="E6E6E6"/>
            <w:vAlign w:val="center"/>
          </w:tcPr>
          <w:p w14:paraId="60AAF00E" w14:textId="4BF94E8A"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144,919</w:t>
            </w:r>
          </w:p>
        </w:tc>
        <w:tc>
          <w:tcPr>
            <w:tcW w:w="1197" w:type="dxa"/>
            <w:shd w:val="clear" w:color="auto" w:fill="E6E6E6"/>
            <w:vAlign w:val="center"/>
          </w:tcPr>
          <w:p w14:paraId="18C834C3" w14:textId="3646EA30"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153,923</w:t>
            </w:r>
          </w:p>
        </w:tc>
        <w:tc>
          <w:tcPr>
            <w:tcW w:w="1197" w:type="dxa"/>
            <w:shd w:val="clear" w:color="auto" w:fill="E6E6E6"/>
            <w:vAlign w:val="center"/>
          </w:tcPr>
          <w:p w14:paraId="539CD0FD" w14:textId="5992F60C"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152,978</w:t>
            </w:r>
          </w:p>
        </w:tc>
      </w:tr>
      <w:tr w:rsidR="003F2953" w14:paraId="4AEB3582" w14:textId="77777777" w:rsidTr="00EB5A40">
        <w:tc>
          <w:tcPr>
            <w:tcW w:w="1197" w:type="dxa"/>
            <w:shd w:val="clear" w:color="auto" w:fill="E6E6E6"/>
            <w:vAlign w:val="center"/>
          </w:tcPr>
          <w:p w14:paraId="08CC2908" w14:textId="3C7091DF" w:rsidR="003F2953" w:rsidRPr="002420CA" w:rsidRDefault="003F2953" w:rsidP="00F71812">
            <w:pPr>
              <w:spacing w:after="120"/>
              <w:jc w:val="center"/>
              <w:rPr>
                <w:rFonts w:ascii="Calibri" w:hAnsi="Calibri"/>
                <w:b/>
                <w:bCs/>
                <w:color w:val="000000"/>
                <w:sz w:val="20"/>
                <w:szCs w:val="20"/>
              </w:rPr>
            </w:pPr>
            <w:r w:rsidRPr="0023162B">
              <w:rPr>
                <w:rFonts w:ascii="Calibri" w:hAnsi="Calibri"/>
                <w:b/>
                <w:color w:val="000000"/>
                <w:sz w:val="20"/>
                <w:szCs w:val="20"/>
              </w:rPr>
              <w:t>Rate</w:t>
            </w:r>
          </w:p>
        </w:tc>
        <w:tc>
          <w:tcPr>
            <w:tcW w:w="1197" w:type="dxa"/>
            <w:shd w:val="clear" w:color="auto" w:fill="E6E6E6"/>
            <w:vAlign w:val="center"/>
          </w:tcPr>
          <w:p w14:paraId="1B4EBE7F" w14:textId="75F6168E"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 </w:t>
            </w:r>
          </w:p>
        </w:tc>
        <w:tc>
          <w:tcPr>
            <w:tcW w:w="1197" w:type="dxa"/>
            <w:shd w:val="clear" w:color="auto" w:fill="E6E6E6"/>
            <w:vAlign w:val="center"/>
          </w:tcPr>
          <w:p w14:paraId="36EED685" w14:textId="7CCC2A83"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-0.75%</w:t>
            </w:r>
          </w:p>
        </w:tc>
        <w:tc>
          <w:tcPr>
            <w:tcW w:w="1197" w:type="dxa"/>
            <w:shd w:val="clear" w:color="auto" w:fill="E6E6E6"/>
            <w:vAlign w:val="center"/>
          </w:tcPr>
          <w:p w14:paraId="03A871A1" w14:textId="3F87D734"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9.27%</w:t>
            </w:r>
          </w:p>
        </w:tc>
        <w:tc>
          <w:tcPr>
            <w:tcW w:w="1197" w:type="dxa"/>
            <w:shd w:val="clear" w:color="auto" w:fill="E6E6E6"/>
            <w:vAlign w:val="center"/>
          </w:tcPr>
          <w:p w14:paraId="701BE1A3" w14:textId="5957CA38"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7.00%</w:t>
            </w:r>
          </w:p>
        </w:tc>
        <w:tc>
          <w:tcPr>
            <w:tcW w:w="1197" w:type="dxa"/>
            <w:shd w:val="clear" w:color="auto" w:fill="E6E6E6"/>
            <w:vAlign w:val="center"/>
          </w:tcPr>
          <w:p w14:paraId="78AC143C" w14:textId="17F5A881"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-1.49%</w:t>
            </w:r>
          </w:p>
        </w:tc>
        <w:tc>
          <w:tcPr>
            <w:tcW w:w="1197" w:type="dxa"/>
            <w:shd w:val="clear" w:color="auto" w:fill="E6E6E6"/>
            <w:vAlign w:val="center"/>
          </w:tcPr>
          <w:p w14:paraId="7C9142E5" w14:textId="464E0E64"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6.58%</w:t>
            </w:r>
          </w:p>
        </w:tc>
        <w:tc>
          <w:tcPr>
            <w:tcW w:w="1197" w:type="dxa"/>
            <w:shd w:val="clear" w:color="auto" w:fill="E6E6E6"/>
            <w:vAlign w:val="center"/>
          </w:tcPr>
          <w:p w14:paraId="6BC04A31" w14:textId="3B8AEEA4"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-0.32%</w:t>
            </w:r>
          </w:p>
        </w:tc>
      </w:tr>
      <w:tr w:rsidR="003F2953" w14:paraId="199D8C33" w14:textId="77777777" w:rsidTr="00D50389">
        <w:tc>
          <w:tcPr>
            <w:tcW w:w="1197" w:type="dxa"/>
            <w:vAlign w:val="center"/>
          </w:tcPr>
          <w:p w14:paraId="68DE623E" w14:textId="4C183820" w:rsidR="003F2953" w:rsidRPr="0023162B" w:rsidRDefault="003F2953" w:rsidP="00F71812">
            <w:pPr>
              <w:spacing w:after="120"/>
              <w:jc w:val="center"/>
              <w:rPr>
                <w:rFonts w:ascii="Calibri" w:hAnsi="Calibri"/>
                <w:b/>
                <w:color w:val="000000"/>
                <w:sz w:val="20"/>
                <w:szCs w:val="20"/>
              </w:rPr>
            </w:pPr>
            <w:r w:rsidRPr="002420CA">
              <w:rPr>
                <w:rFonts w:ascii="Calibri" w:hAnsi="Calibri"/>
                <w:b/>
                <w:bCs/>
                <w:color w:val="000000"/>
                <w:sz w:val="20"/>
                <w:szCs w:val="20"/>
              </w:rPr>
              <w:t>Amherst</w:t>
            </w:r>
          </w:p>
        </w:tc>
        <w:tc>
          <w:tcPr>
            <w:tcW w:w="1197" w:type="dxa"/>
            <w:vAlign w:val="center"/>
          </w:tcPr>
          <w:p w14:paraId="366BD2AB" w14:textId="5BF1DB06"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168</w:t>
            </w:r>
          </w:p>
        </w:tc>
        <w:tc>
          <w:tcPr>
            <w:tcW w:w="1197" w:type="dxa"/>
            <w:vAlign w:val="center"/>
          </w:tcPr>
          <w:p w14:paraId="617DC468" w14:textId="686C6006"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148</w:t>
            </w:r>
          </w:p>
        </w:tc>
        <w:tc>
          <w:tcPr>
            <w:tcW w:w="1197" w:type="dxa"/>
            <w:vAlign w:val="center"/>
          </w:tcPr>
          <w:p w14:paraId="30E4C544" w14:textId="20ACC722"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203</w:t>
            </w:r>
          </w:p>
        </w:tc>
        <w:tc>
          <w:tcPr>
            <w:tcW w:w="1197" w:type="dxa"/>
            <w:vAlign w:val="center"/>
          </w:tcPr>
          <w:p w14:paraId="5370825E" w14:textId="1F602DFC"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208</w:t>
            </w:r>
          </w:p>
        </w:tc>
        <w:tc>
          <w:tcPr>
            <w:tcW w:w="1197" w:type="dxa"/>
            <w:vAlign w:val="center"/>
          </w:tcPr>
          <w:p w14:paraId="1E4620A0" w14:textId="47D0CCBA"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230</w:t>
            </w:r>
          </w:p>
        </w:tc>
        <w:tc>
          <w:tcPr>
            <w:tcW w:w="1197" w:type="dxa"/>
            <w:vAlign w:val="center"/>
          </w:tcPr>
          <w:p w14:paraId="035E50C0" w14:textId="304ACD8B"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265</w:t>
            </w:r>
          </w:p>
        </w:tc>
        <w:tc>
          <w:tcPr>
            <w:tcW w:w="1197" w:type="dxa"/>
            <w:vAlign w:val="center"/>
          </w:tcPr>
          <w:p w14:paraId="544C992F" w14:textId="40BC1C65"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229</w:t>
            </w:r>
          </w:p>
        </w:tc>
      </w:tr>
      <w:tr w:rsidR="003F2953" w14:paraId="6D7B5467" w14:textId="77777777" w:rsidTr="00D50389">
        <w:tc>
          <w:tcPr>
            <w:tcW w:w="1197" w:type="dxa"/>
            <w:vAlign w:val="center"/>
          </w:tcPr>
          <w:p w14:paraId="65AE5E85" w14:textId="2F61D31A" w:rsidR="003F2953" w:rsidRPr="002420CA" w:rsidRDefault="003F2953" w:rsidP="00F71812">
            <w:pPr>
              <w:spacing w:after="120"/>
              <w:jc w:val="center"/>
              <w:rPr>
                <w:rFonts w:ascii="Calibri" w:hAnsi="Calibri"/>
                <w:b/>
                <w:bCs/>
                <w:color w:val="000000"/>
                <w:sz w:val="20"/>
                <w:szCs w:val="20"/>
              </w:rPr>
            </w:pPr>
            <w:r w:rsidRPr="0023162B">
              <w:rPr>
                <w:rFonts w:ascii="Calibri" w:hAnsi="Calibri"/>
                <w:b/>
                <w:color w:val="000000"/>
                <w:sz w:val="20"/>
                <w:szCs w:val="20"/>
              </w:rPr>
              <w:t>Rate</w:t>
            </w:r>
          </w:p>
        </w:tc>
        <w:tc>
          <w:tcPr>
            <w:tcW w:w="1197" w:type="dxa"/>
            <w:vAlign w:val="center"/>
          </w:tcPr>
          <w:p w14:paraId="6D6D09E0" w14:textId="0B9A32CD"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 </w:t>
            </w:r>
          </w:p>
        </w:tc>
        <w:tc>
          <w:tcPr>
            <w:tcW w:w="1197" w:type="dxa"/>
            <w:vAlign w:val="center"/>
          </w:tcPr>
          <w:p w14:paraId="0B20D65B" w14:textId="359B895D"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-11.90%</w:t>
            </w:r>
          </w:p>
        </w:tc>
        <w:tc>
          <w:tcPr>
            <w:tcW w:w="1197" w:type="dxa"/>
            <w:vAlign w:val="center"/>
          </w:tcPr>
          <w:p w14:paraId="05CC1DD4" w14:textId="2AF172AD"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37.16%</w:t>
            </w:r>
          </w:p>
        </w:tc>
        <w:tc>
          <w:tcPr>
            <w:tcW w:w="1197" w:type="dxa"/>
            <w:vAlign w:val="center"/>
          </w:tcPr>
          <w:p w14:paraId="02A10D69" w14:textId="0BC9320A"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2.46%</w:t>
            </w:r>
          </w:p>
        </w:tc>
        <w:tc>
          <w:tcPr>
            <w:tcW w:w="1197" w:type="dxa"/>
            <w:vAlign w:val="center"/>
          </w:tcPr>
          <w:p w14:paraId="778C1BE1" w14:textId="40915F48"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10.58%</w:t>
            </w:r>
          </w:p>
        </w:tc>
        <w:tc>
          <w:tcPr>
            <w:tcW w:w="1197" w:type="dxa"/>
            <w:vAlign w:val="center"/>
          </w:tcPr>
          <w:p w14:paraId="5516836C" w14:textId="24012918"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15.22%</w:t>
            </w:r>
          </w:p>
        </w:tc>
        <w:tc>
          <w:tcPr>
            <w:tcW w:w="1197" w:type="dxa"/>
            <w:vAlign w:val="center"/>
          </w:tcPr>
          <w:p w14:paraId="5BBC9A61" w14:textId="5B9252B0"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-13.58%</w:t>
            </w:r>
          </w:p>
        </w:tc>
      </w:tr>
      <w:tr w:rsidR="003F2953" w14:paraId="4B69CDCF" w14:textId="77777777" w:rsidTr="00D50389">
        <w:tc>
          <w:tcPr>
            <w:tcW w:w="1197" w:type="dxa"/>
            <w:vAlign w:val="center"/>
          </w:tcPr>
          <w:p w14:paraId="5D69F0EE" w14:textId="35094BFA" w:rsidR="003F2953" w:rsidRPr="0023162B" w:rsidRDefault="003F2953" w:rsidP="00F71812">
            <w:pPr>
              <w:spacing w:after="120"/>
              <w:jc w:val="center"/>
              <w:rPr>
                <w:rFonts w:ascii="Calibri" w:hAnsi="Calibri"/>
                <w:b/>
                <w:color w:val="000000"/>
                <w:sz w:val="20"/>
                <w:szCs w:val="20"/>
              </w:rPr>
            </w:pPr>
            <w:r w:rsidRPr="002420CA">
              <w:rPr>
                <w:rFonts w:ascii="Calibri" w:hAnsi="Calibri"/>
                <w:b/>
                <w:bCs/>
                <w:color w:val="000000"/>
                <w:sz w:val="20"/>
                <w:szCs w:val="20"/>
              </w:rPr>
              <w:t>Otis</w:t>
            </w:r>
          </w:p>
        </w:tc>
        <w:tc>
          <w:tcPr>
            <w:tcW w:w="1197" w:type="dxa"/>
            <w:vAlign w:val="center"/>
          </w:tcPr>
          <w:p w14:paraId="444CCB9A" w14:textId="177B0308"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100</w:t>
            </w:r>
          </w:p>
        </w:tc>
        <w:tc>
          <w:tcPr>
            <w:tcW w:w="1197" w:type="dxa"/>
            <w:vAlign w:val="center"/>
          </w:tcPr>
          <w:p w14:paraId="512BB76C" w14:textId="652FFC42"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123</w:t>
            </w:r>
          </w:p>
        </w:tc>
        <w:tc>
          <w:tcPr>
            <w:tcW w:w="1197" w:type="dxa"/>
            <w:vAlign w:val="center"/>
          </w:tcPr>
          <w:p w14:paraId="15289A54" w14:textId="7CED4C36"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307</w:t>
            </w:r>
          </w:p>
        </w:tc>
        <w:tc>
          <w:tcPr>
            <w:tcW w:w="1197" w:type="dxa"/>
            <w:vAlign w:val="center"/>
          </w:tcPr>
          <w:p w14:paraId="51B5582A" w14:textId="3691A476"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355</w:t>
            </w:r>
          </w:p>
        </w:tc>
        <w:tc>
          <w:tcPr>
            <w:tcW w:w="1197" w:type="dxa"/>
            <w:vAlign w:val="center"/>
          </w:tcPr>
          <w:p w14:paraId="35042052" w14:textId="0C5F0BA0"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543</w:t>
            </w:r>
          </w:p>
        </w:tc>
        <w:tc>
          <w:tcPr>
            <w:tcW w:w="1197" w:type="dxa"/>
            <w:vAlign w:val="center"/>
          </w:tcPr>
          <w:p w14:paraId="7A58B431" w14:textId="354DBAEA"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672</w:t>
            </w:r>
          </w:p>
        </w:tc>
        <w:tc>
          <w:tcPr>
            <w:tcW w:w="1197" w:type="dxa"/>
            <w:vAlign w:val="center"/>
          </w:tcPr>
          <w:p w14:paraId="3805A3CD" w14:textId="020868EC"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775</w:t>
            </w:r>
          </w:p>
        </w:tc>
      </w:tr>
      <w:tr w:rsidR="003F2953" w14:paraId="55C77EED" w14:textId="77777777" w:rsidTr="00EB5A40">
        <w:tc>
          <w:tcPr>
            <w:tcW w:w="1197" w:type="dxa"/>
            <w:tcBorders>
              <w:bottom w:val="single" w:sz="4" w:space="0" w:color="auto"/>
            </w:tcBorders>
            <w:vAlign w:val="center"/>
          </w:tcPr>
          <w:p w14:paraId="1FF2F939" w14:textId="615D1D91" w:rsidR="003F2953" w:rsidRPr="002420CA" w:rsidRDefault="003F2953" w:rsidP="00F71812">
            <w:pPr>
              <w:spacing w:after="120"/>
              <w:jc w:val="center"/>
              <w:rPr>
                <w:rFonts w:ascii="Calibri" w:hAnsi="Calibri"/>
                <w:b/>
                <w:bCs/>
                <w:color w:val="000000"/>
                <w:sz w:val="20"/>
                <w:szCs w:val="20"/>
              </w:rPr>
            </w:pPr>
            <w:r w:rsidRPr="0023162B">
              <w:rPr>
                <w:rFonts w:ascii="Calibri" w:hAnsi="Calibri"/>
                <w:b/>
                <w:color w:val="000000"/>
                <w:sz w:val="20"/>
                <w:szCs w:val="20"/>
              </w:rPr>
              <w:t>Rate</w:t>
            </w:r>
          </w:p>
        </w:tc>
        <w:tc>
          <w:tcPr>
            <w:tcW w:w="1197" w:type="dxa"/>
            <w:tcBorders>
              <w:bottom w:val="single" w:sz="4" w:space="0" w:color="auto"/>
            </w:tcBorders>
            <w:vAlign w:val="center"/>
          </w:tcPr>
          <w:p w14:paraId="474FCFF9" w14:textId="17ADC4E8"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 </w:t>
            </w:r>
          </w:p>
        </w:tc>
        <w:tc>
          <w:tcPr>
            <w:tcW w:w="1197" w:type="dxa"/>
            <w:tcBorders>
              <w:bottom w:val="single" w:sz="4" w:space="0" w:color="auto"/>
            </w:tcBorders>
            <w:vAlign w:val="center"/>
          </w:tcPr>
          <w:p w14:paraId="5BEA6A08" w14:textId="0067C158"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23.00%</w:t>
            </w:r>
          </w:p>
        </w:tc>
        <w:tc>
          <w:tcPr>
            <w:tcW w:w="1197" w:type="dxa"/>
            <w:tcBorders>
              <w:bottom w:val="single" w:sz="4" w:space="0" w:color="auto"/>
            </w:tcBorders>
            <w:vAlign w:val="center"/>
          </w:tcPr>
          <w:p w14:paraId="4AF2A84C" w14:textId="2770F4E8"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149.59%</w:t>
            </w:r>
          </w:p>
        </w:tc>
        <w:tc>
          <w:tcPr>
            <w:tcW w:w="1197" w:type="dxa"/>
            <w:tcBorders>
              <w:bottom w:val="single" w:sz="4" w:space="0" w:color="auto"/>
            </w:tcBorders>
            <w:vAlign w:val="center"/>
          </w:tcPr>
          <w:p w14:paraId="5A2F3AF5" w14:textId="33703B01"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15.64%</w:t>
            </w:r>
          </w:p>
        </w:tc>
        <w:tc>
          <w:tcPr>
            <w:tcW w:w="1197" w:type="dxa"/>
            <w:tcBorders>
              <w:bottom w:val="single" w:sz="4" w:space="0" w:color="auto"/>
            </w:tcBorders>
            <w:vAlign w:val="center"/>
          </w:tcPr>
          <w:p w14:paraId="60F5B08E" w14:textId="73946B9A"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52.96%</w:t>
            </w:r>
          </w:p>
        </w:tc>
        <w:tc>
          <w:tcPr>
            <w:tcW w:w="1197" w:type="dxa"/>
            <w:tcBorders>
              <w:bottom w:val="single" w:sz="4" w:space="0" w:color="auto"/>
            </w:tcBorders>
            <w:vAlign w:val="center"/>
          </w:tcPr>
          <w:p w14:paraId="4C831279" w14:textId="1FF0F5C6"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23.76%</w:t>
            </w:r>
          </w:p>
        </w:tc>
        <w:tc>
          <w:tcPr>
            <w:tcW w:w="1197" w:type="dxa"/>
            <w:tcBorders>
              <w:bottom w:val="single" w:sz="4" w:space="0" w:color="auto"/>
            </w:tcBorders>
            <w:vAlign w:val="center"/>
          </w:tcPr>
          <w:p w14:paraId="5B689275" w14:textId="7A116619"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15.33%</w:t>
            </w:r>
          </w:p>
        </w:tc>
      </w:tr>
      <w:tr w:rsidR="003F2953" w14:paraId="2E573F23" w14:textId="77777777" w:rsidTr="00EB5A40">
        <w:tc>
          <w:tcPr>
            <w:tcW w:w="1197" w:type="dxa"/>
            <w:tcBorders>
              <w:bottom w:val="single" w:sz="4" w:space="0" w:color="auto"/>
            </w:tcBorders>
            <w:shd w:val="clear" w:color="auto" w:fill="E6E6E6"/>
            <w:vAlign w:val="center"/>
          </w:tcPr>
          <w:p w14:paraId="55AABF5C" w14:textId="641DE406" w:rsidR="003F2953" w:rsidRPr="0023162B" w:rsidRDefault="003F2953" w:rsidP="00F71812">
            <w:pPr>
              <w:spacing w:after="120"/>
              <w:jc w:val="center"/>
              <w:rPr>
                <w:rFonts w:ascii="Calibri" w:hAnsi="Calibri"/>
                <w:b/>
                <w:color w:val="000000"/>
                <w:sz w:val="20"/>
                <w:szCs w:val="20"/>
              </w:rPr>
            </w:pPr>
            <w:r w:rsidRPr="002420CA">
              <w:rPr>
                <w:rFonts w:ascii="Calibri" w:hAnsi="Calibri"/>
                <w:b/>
                <w:bCs/>
                <w:color w:val="000000"/>
                <w:sz w:val="20"/>
                <w:szCs w:val="20"/>
              </w:rPr>
              <w:t>Hancock County</w:t>
            </w:r>
          </w:p>
        </w:tc>
        <w:tc>
          <w:tcPr>
            <w:tcW w:w="1197" w:type="dxa"/>
            <w:tcBorders>
              <w:bottom w:val="single" w:sz="4" w:space="0" w:color="auto"/>
            </w:tcBorders>
            <w:shd w:val="clear" w:color="auto" w:fill="E6E6E6"/>
            <w:vAlign w:val="center"/>
          </w:tcPr>
          <w:p w14:paraId="127C0AE9" w14:textId="0886BDA1"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32,293</w:t>
            </w:r>
          </w:p>
        </w:tc>
        <w:tc>
          <w:tcPr>
            <w:tcW w:w="1197" w:type="dxa"/>
            <w:tcBorders>
              <w:bottom w:val="single" w:sz="4" w:space="0" w:color="auto"/>
            </w:tcBorders>
            <w:shd w:val="clear" w:color="auto" w:fill="E6E6E6"/>
            <w:vAlign w:val="center"/>
          </w:tcPr>
          <w:p w14:paraId="3BBB41FE" w14:textId="3425765F"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34,590</w:t>
            </w:r>
          </w:p>
        </w:tc>
        <w:tc>
          <w:tcPr>
            <w:tcW w:w="1197" w:type="dxa"/>
            <w:tcBorders>
              <w:bottom w:val="single" w:sz="4" w:space="0" w:color="auto"/>
            </w:tcBorders>
            <w:shd w:val="clear" w:color="auto" w:fill="E6E6E6"/>
            <w:vAlign w:val="center"/>
          </w:tcPr>
          <w:p w14:paraId="19DF93B4" w14:textId="1C3AECC9"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41,781</w:t>
            </w:r>
          </w:p>
        </w:tc>
        <w:tc>
          <w:tcPr>
            <w:tcW w:w="1197" w:type="dxa"/>
            <w:tcBorders>
              <w:bottom w:val="single" w:sz="4" w:space="0" w:color="auto"/>
            </w:tcBorders>
            <w:shd w:val="clear" w:color="auto" w:fill="E6E6E6"/>
            <w:vAlign w:val="center"/>
          </w:tcPr>
          <w:p w14:paraId="31321F7B" w14:textId="1B9A9F6E"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46,948</w:t>
            </w:r>
          </w:p>
        </w:tc>
        <w:tc>
          <w:tcPr>
            <w:tcW w:w="1197" w:type="dxa"/>
            <w:tcBorders>
              <w:bottom w:val="single" w:sz="4" w:space="0" w:color="auto"/>
            </w:tcBorders>
            <w:shd w:val="clear" w:color="auto" w:fill="E6E6E6"/>
            <w:vAlign w:val="center"/>
          </w:tcPr>
          <w:p w14:paraId="6AEE8946" w14:textId="15E31295"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51,791</w:t>
            </w:r>
          </w:p>
        </w:tc>
        <w:tc>
          <w:tcPr>
            <w:tcW w:w="1197" w:type="dxa"/>
            <w:tcBorders>
              <w:bottom w:val="single" w:sz="4" w:space="0" w:color="auto"/>
            </w:tcBorders>
            <w:shd w:val="clear" w:color="auto" w:fill="E6E6E6"/>
            <w:vAlign w:val="center"/>
          </w:tcPr>
          <w:p w14:paraId="5C15293B" w14:textId="434CACE1"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54,418</w:t>
            </w:r>
          </w:p>
        </w:tc>
        <w:tc>
          <w:tcPr>
            <w:tcW w:w="1197" w:type="dxa"/>
            <w:tcBorders>
              <w:bottom w:val="single" w:sz="4" w:space="0" w:color="auto"/>
            </w:tcBorders>
            <w:shd w:val="clear" w:color="auto" w:fill="E6E6E6"/>
            <w:vAlign w:val="center"/>
          </w:tcPr>
          <w:p w14:paraId="32DB9E5E" w14:textId="6F9109E7"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54,483</w:t>
            </w:r>
          </w:p>
        </w:tc>
      </w:tr>
      <w:tr w:rsidR="003F2953" w14:paraId="39BAADD0" w14:textId="77777777" w:rsidTr="00EB5A40">
        <w:tc>
          <w:tcPr>
            <w:tcW w:w="1197" w:type="dxa"/>
            <w:tcBorders>
              <w:bottom w:val="single" w:sz="4" w:space="0" w:color="auto"/>
            </w:tcBorders>
            <w:shd w:val="clear" w:color="auto" w:fill="E6E6E6"/>
            <w:vAlign w:val="center"/>
          </w:tcPr>
          <w:p w14:paraId="7A1FABBB" w14:textId="49AACCCB" w:rsidR="003F2953" w:rsidRPr="002420CA" w:rsidRDefault="003F2953" w:rsidP="00F71812">
            <w:pPr>
              <w:spacing w:after="120"/>
              <w:jc w:val="center"/>
              <w:rPr>
                <w:rFonts w:ascii="Calibri" w:hAnsi="Calibri"/>
                <w:b/>
                <w:bCs/>
                <w:color w:val="000000"/>
                <w:sz w:val="20"/>
                <w:szCs w:val="20"/>
              </w:rPr>
            </w:pPr>
            <w:r w:rsidRPr="0023162B">
              <w:rPr>
                <w:rFonts w:ascii="Calibri" w:hAnsi="Calibri"/>
                <w:b/>
                <w:color w:val="000000"/>
                <w:sz w:val="20"/>
                <w:szCs w:val="20"/>
              </w:rPr>
              <w:t>Rate</w:t>
            </w:r>
          </w:p>
        </w:tc>
        <w:tc>
          <w:tcPr>
            <w:tcW w:w="1197" w:type="dxa"/>
            <w:tcBorders>
              <w:bottom w:val="single" w:sz="4" w:space="0" w:color="auto"/>
            </w:tcBorders>
            <w:shd w:val="clear" w:color="auto" w:fill="E6E6E6"/>
            <w:vAlign w:val="center"/>
          </w:tcPr>
          <w:p w14:paraId="2C0C1627" w14:textId="2A35DEC7"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 </w:t>
            </w:r>
          </w:p>
        </w:tc>
        <w:tc>
          <w:tcPr>
            <w:tcW w:w="1197" w:type="dxa"/>
            <w:tcBorders>
              <w:bottom w:val="single" w:sz="4" w:space="0" w:color="auto"/>
            </w:tcBorders>
            <w:shd w:val="clear" w:color="auto" w:fill="E6E6E6"/>
            <w:vAlign w:val="center"/>
          </w:tcPr>
          <w:p w14:paraId="66BA9B53" w14:textId="6FB03582"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7.11%</w:t>
            </w:r>
          </w:p>
        </w:tc>
        <w:tc>
          <w:tcPr>
            <w:tcW w:w="1197" w:type="dxa"/>
            <w:tcBorders>
              <w:bottom w:val="single" w:sz="4" w:space="0" w:color="auto"/>
            </w:tcBorders>
            <w:shd w:val="clear" w:color="auto" w:fill="E6E6E6"/>
            <w:vAlign w:val="center"/>
          </w:tcPr>
          <w:p w14:paraId="1FE5B218" w14:textId="5601A56D"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20.79%</w:t>
            </w:r>
          </w:p>
        </w:tc>
        <w:tc>
          <w:tcPr>
            <w:tcW w:w="1197" w:type="dxa"/>
            <w:tcBorders>
              <w:bottom w:val="single" w:sz="4" w:space="0" w:color="auto"/>
            </w:tcBorders>
            <w:shd w:val="clear" w:color="auto" w:fill="E6E6E6"/>
            <w:vAlign w:val="center"/>
          </w:tcPr>
          <w:p w14:paraId="49EE0E9F" w14:textId="18342157"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12.37%</w:t>
            </w:r>
          </w:p>
        </w:tc>
        <w:tc>
          <w:tcPr>
            <w:tcW w:w="1197" w:type="dxa"/>
            <w:tcBorders>
              <w:bottom w:val="single" w:sz="4" w:space="0" w:color="auto"/>
            </w:tcBorders>
            <w:shd w:val="clear" w:color="auto" w:fill="E6E6E6"/>
            <w:vAlign w:val="center"/>
          </w:tcPr>
          <w:p w14:paraId="4CB3C3AD" w14:textId="22EFB8CF"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10.32%</w:t>
            </w:r>
          </w:p>
        </w:tc>
        <w:tc>
          <w:tcPr>
            <w:tcW w:w="1197" w:type="dxa"/>
            <w:tcBorders>
              <w:bottom w:val="single" w:sz="4" w:space="0" w:color="auto"/>
            </w:tcBorders>
            <w:shd w:val="clear" w:color="auto" w:fill="E6E6E6"/>
            <w:vAlign w:val="center"/>
          </w:tcPr>
          <w:p w14:paraId="27669C7D" w14:textId="6191AB7F"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5.07%</w:t>
            </w:r>
          </w:p>
        </w:tc>
        <w:tc>
          <w:tcPr>
            <w:tcW w:w="1197" w:type="dxa"/>
            <w:tcBorders>
              <w:bottom w:val="single" w:sz="4" w:space="0" w:color="auto"/>
            </w:tcBorders>
            <w:shd w:val="clear" w:color="auto" w:fill="E6E6E6"/>
            <w:vAlign w:val="center"/>
          </w:tcPr>
          <w:p w14:paraId="268E3CAE" w14:textId="2C6D2039"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0.44%</w:t>
            </w:r>
          </w:p>
        </w:tc>
      </w:tr>
      <w:tr w:rsidR="003F2953" w14:paraId="3EF6DFA7" w14:textId="77777777" w:rsidTr="00EB5A40">
        <w:tc>
          <w:tcPr>
            <w:tcW w:w="1197" w:type="dxa"/>
            <w:shd w:val="clear" w:color="auto" w:fill="E6E6E6"/>
            <w:vAlign w:val="center"/>
          </w:tcPr>
          <w:p w14:paraId="7A82613E" w14:textId="1FEEE442" w:rsidR="003F2953" w:rsidRPr="0023162B" w:rsidRDefault="003F2953" w:rsidP="00F71812">
            <w:pPr>
              <w:spacing w:after="120"/>
              <w:jc w:val="center"/>
              <w:rPr>
                <w:rFonts w:ascii="Calibri" w:hAnsi="Calibri"/>
                <w:b/>
                <w:color w:val="000000"/>
                <w:sz w:val="20"/>
                <w:szCs w:val="20"/>
              </w:rPr>
            </w:pPr>
            <w:r w:rsidRPr="002420CA">
              <w:rPr>
                <w:rFonts w:ascii="Calibri" w:hAnsi="Calibri"/>
                <w:b/>
                <w:bCs/>
                <w:color w:val="000000"/>
                <w:sz w:val="20"/>
                <w:szCs w:val="20"/>
              </w:rPr>
              <w:t>State of Maine</w:t>
            </w:r>
          </w:p>
        </w:tc>
        <w:tc>
          <w:tcPr>
            <w:tcW w:w="1197" w:type="dxa"/>
            <w:shd w:val="clear" w:color="auto" w:fill="E6E6E6"/>
            <w:vAlign w:val="center"/>
          </w:tcPr>
          <w:p w14:paraId="76D993A3" w14:textId="7179F290"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969,265</w:t>
            </w:r>
          </w:p>
        </w:tc>
        <w:tc>
          <w:tcPr>
            <w:tcW w:w="1197" w:type="dxa"/>
            <w:shd w:val="clear" w:color="auto" w:fill="E6E6E6"/>
            <w:vAlign w:val="center"/>
          </w:tcPr>
          <w:p w14:paraId="1401C7D5" w14:textId="6E5B5F91"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993,663</w:t>
            </w:r>
          </w:p>
        </w:tc>
        <w:tc>
          <w:tcPr>
            <w:tcW w:w="1197" w:type="dxa"/>
            <w:shd w:val="clear" w:color="auto" w:fill="E6E6E6"/>
            <w:vAlign w:val="center"/>
          </w:tcPr>
          <w:p w14:paraId="235BF459" w14:textId="426E3530"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1,124,660</w:t>
            </w:r>
          </w:p>
        </w:tc>
        <w:tc>
          <w:tcPr>
            <w:tcW w:w="1197" w:type="dxa"/>
            <w:shd w:val="clear" w:color="auto" w:fill="E6E6E6"/>
            <w:vAlign w:val="center"/>
          </w:tcPr>
          <w:p w14:paraId="19B9B621" w14:textId="18FB417D"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1,227,928</w:t>
            </w:r>
          </w:p>
        </w:tc>
        <w:tc>
          <w:tcPr>
            <w:tcW w:w="1197" w:type="dxa"/>
            <w:shd w:val="clear" w:color="auto" w:fill="E6E6E6"/>
            <w:vAlign w:val="center"/>
          </w:tcPr>
          <w:p w14:paraId="048CC185" w14:textId="7A0C2416"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1,274,923</w:t>
            </w:r>
          </w:p>
        </w:tc>
        <w:tc>
          <w:tcPr>
            <w:tcW w:w="1197" w:type="dxa"/>
            <w:shd w:val="clear" w:color="auto" w:fill="E6E6E6"/>
            <w:vAlign w:val="center"/>
          </w:tcPr>
          <w:p w14:paraId="26E8C144" w14:textId="3ED14B5D"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1,328,361</w:t>
            </w:r>
          </w:p>
        </w:tc>
        <w:tc>
          <w:tcPr>
            <w:tcW w:w="1197" w:type="dxa"/>
            <w:shd w:val="clear" w:color="auto" w:fill="E6E6E6"/>
            <w:vAlign w:val="center"/>
          </w:tcPr>
          <w:p w14:paraId="4A4B1F26" w14:textId="7E4513DC"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1,329,923</w:t>
            </w:r>
          </w:p>
        </w:tc>
      </w:tr>
      <w:tr w:rsidR="003F2953" w14:paraId="795D30BE" w14:textId="77777777" w:rsidTr="00EB5A40">
        <w:tc>
          <w:tcPr>
            <w:tcW w:w="1197" w:type="dxa"/>
            <w:shd w:val="clear" w:color="auto" w:fill="E6E6E6"/>
            <w:vAlign w:val="center"/>
          </w:tcPr>
          <w:p w14:paraId="5D8A57A5" w14:textId="0723ED47" w:rsidR="003F2953" w:rsidRPr="002420CA" w:rsidRDefault="003F2953" w:rsidP="00F71812">
            <w:pPr>
              <w:spacing w:after="120"/>
              <w:jc w:val="center"/>
              <w:rPr>
                <w:rFonts w:ascii="Calibri" w:hAnsi="Calibri"/>
                <w:b/>
                <w:bCs/>
                <w:color w:val="000000"/>
                <w:sz w:val="20"/>
                <w:szCs w:val="20"/>
              </w:rPr>
            </w:pPr>
            <w:r w:rsidRPr="002420CA">
              <w:rPr>
                <w:rFonts w:ascii="Calibri" w:hAnsi="Calibri"/>
                <w:b/>
                <w:bCs/>
                <w:color w:val="000000"/>
                <w:sz w:val="20"/>
                <w:szCs w:val="20"/>
              </w:rPr>
              <w:t>Rate</w:t>
            </w:r>
          </w:p>
        </w:tc>
        <w:tc>
          <w:tcPr>
            <w:tcW w:w="1197" w:type="dxa"/>
            <w:shd w:val="clear" w:color="auto" w:fill="E6E6E6"/>
            <w:vAlign w:val="center"/>
          </w:tcPr>
          <w:p w14:paraId="1F514F00" w14:textId="3B17E066"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 </w:t>
            </w:r>
          </w:p>
        </w:tc>
        <w:tc>
          <w:tcPr>
            <w:tcW w:w="1197" w:type="dxa"/>
            <w:shd w:val="clear" w:color="auto" w:fill="E6E6E6"/>
            <w:vAlign w:val="center"/>
          </w:tcPr>
          <w:p w14:paraId="0D5088B9" w14:textId="1E087E1A"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2.52%</w:t>
            </w:r>
          </w:p>
        </w:tc>
        <w:tc>
          <w:tcPr>
            <w:tcW w:w="1197" w:type="dxa"/>
            <w:shd w:val="clear" w:color="auto" w:fill="E6E6E6"/>
            <w:vAlign w:val="center"/>
          </w:tcPr>
          <w:p w14:paraId="6599CCE3" w14:textId="46DA6524"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13.18%</w:t>
            </w:r>
          </w:p>
        </w:tc>
        <w:tc>
          <w:tcPr>
            <w:tcW w:w="1197" w:type="dxa"/>
            <w:shd w:val="clear" w:color="auto" w:fill="E6E6E6"/>
            <w:vAlign w:val="center"/>
          </w:tcPr>
          <w:p w14:paraId="58561CB2" w14:textId="4366EAAC"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9.18%</w:t>
            </w:r>
          </w:p>
        </w:tc>
        <w:tc>
          <w:tcPr>
            <w:tcW w:w="1197" w:type="dxa"/>
            <w:shd w:val="clear" w:color="auto" w:fill="E6E6E6"/>
            <w:vAlign w:val="center"/>
          </w:tcPr>
          <w:p w14:paraId="7A97B8A5" w14:textId="5E45A518"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4.20%</w:t>
            </w:r>
          </w:p>
        </w:tc>
        <w:tc>
          <w:tcPr>
            <w:tcW w:w="1197" w:type="dxa"/>
            <w:shd w:val="clear" w:color="auto" w:fill="E6E6E6"/>
            <w:vAlign w:val="center"/>
          </w:tcPr>
          <w:p w14:paraId="299385EF" w14:textId="30DB770A"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3.82%</w:t>
            </w:r>
          </w:p>
        </w:tc>
        <w:tc>
          <w:tcPr>
            <w:tcW w:w="1197" w:type="dxa"/>
            <w:shd w:val="clear" w:color="auto" w:fill="E6E6E6"/>
            <w:vAlign w:val="center"/>
          </w:tcPr>
          <w:p w14:paraId="1B85DC32" w14:textId="6E7294FE" w:rsidR="003F2953" w:rsidRPr="004F75DC" w:rsidRDefault="003F2953" w:rsidP="00F71812">
            <w:pPr>
              <w:spacing w:after="120"/>
              <w:jc w:val="center"/>
              <w:rPr>
                <w:rFonts w:ascii="Calibri" w:hAnsi="Calibri"/>
                <w:b/>
                <w:bCs/>
                <w:color w:val="000000"/>
                <w:sz w:val="20"/>
                <w:szCs w:val="20"/>
              </w:rPr>
            </w:pPr>
            <w:r w:rsidRPr="004F75DC">
              <w:rPr>
                <w:rFonts w:ascii="Calibri" w:hAnsi="Calibri"/>
                <w:color w:val="000000"/>
                <w:sz w:val="20"/>
                <w:szCs w:val="20"/>
              </w:rPr>
              <w:t>0.06%</w:t>
            </w:r>
          </w:p>
        </w:tc>
      </w:tr>
    </w:tbl>
    <w:p w14:paraId="5DBFC16B" w14:textId="77777777" w:rsidR="00F71812" w:rsidRDefault="00F71812" w:rsidP="00EB5A40">
      <w:pPr>
        <w:spacing w:after="120"/>
        <w:jc w:val="center"/>
      </w:pPr>
    </w:p>
    <w:p w14:paraId="026D4243" w14:textId="5FC28A5C" w:rsidR="004110D0" w:rsidRDefault="003F2953" w:rsidP="005C2AE0">
      <w:pPr>
        <w:widowControl w:val="0"/>
        <w:spacing w:after="120"/>
      </w:pPr>
      <w:r>
        <w:tab/>
      </w:r>
      <w:r w:rsidR="00F71812">
        <w:t>The Town more than tripled in number between 1970 and 2000.  Although the Town has had its own pattern of development, it does not mean the Town is unaffected by what is happening in its region or across the town line.  The same social and economic forces that propelled strong growth for Holden (33.9%) and Eddington (41.8%) in the 1960s did not translate into growth for Clifton.  Whatever drove Clifton’s growth in the 1970s did not similarly affect those towns to the same degree.</w:t>
      </w:r>
    </w:p>
    <w:p w14:paraId="4542CAE1" w14:textId="77777777" w:rsidR="00E65FA6" w:rsidRDefault="00E65FA6" w:rsidP="005C2AE0">
      <w:pPr>
        <w:widowControl w:val="0"/>
        <w:spacing w:after="120"/>
      </w:pPr>
    </w:p>
    <w:p w14:paraId="3F2B5EDD" w14:textId="11ADCF8F" w:rsidR="004F75DC" w:rsidRDefault="004F75DC" w:rsidP="005C2AE0">
      <w:pPr>
        <w:widowControl w:val="0"/>
        <w:spacing w:after="120"/>
      </w:pPr>
      <w:r>
        <w:rPr>
          <w:noProof/>
        </w:rPr>
        <w:drawing>
          <wp:inline distT="0" distB="0" distL="0" distR="0" wp14:anchorId="54004F41" wp14:editId="6C567719">
            <wp:extent cx="5715000" cy="3200037"/>
            <wp:effectExtent l="0" t="0" r="25400" b="260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726959" w14:textId="6C1A6C1B" w:rsidR="00E65FA6" w:rsidRDefault="00E65FA6" w:rsidP="005C2AE0">
      <w:pPr>
        <w:widowControl w:val="0"/>
        <w:spacing w:after="120"/>
        <w:rPr>
          <w:b/>
          <w:i/>
        </w:rPr>
      </w:pPr>
    </w:p>
    <w:p w14:paraId="2A8BB996" w14:textId="77777777" w:rsidR="00E65FA6" w:rsidRDefault="00E65FA6" w:rsidP="005C2AE0">
      <w:pPr>
        <w:widowControl w:val="0"/>
        <w:spacing w:after="120"/>
        <w:rPr>
          <w:b/>
          <w:i/>
        </w:rPr>
      </w:pPr>
    </w:p>
    <w:p w14:paraId="4A9C5FF7" w14:textId="77777777" w:rsidR="00E65FA6" w:rsidRDefault="00E65FA6" w:rsidP="005C2AE0">
      <w:pPr>
        <w:widowControl w:val="0"/>
        <w:spacing w:after="120"/>
        <w:rPr>
          <w:b/>
          <w:i/>
        </w:rPr>
      </w:pPr>
    </w:p>
    <w:p w14:paraId="6357B8FC" w14:textId="4D5B8223" w:rsidR="00D87B3B" w:rsidRPr="00EB5A40" w:rsidRDefault="00C20FC8" w:rsidP="00E65FA6">
      <w:pPr>
        <w:widowControl w:val="0"/>
        <w:spacing w:after="120"/>
        <w:ind w:firstLine="720"/>
        <w:rPr>
          <w:b/>
          <w:i/>
        </w:rPr>
      </w:pPr>
      <w:r w:rsidRPr="00C20FC8">
        <w:rPr>
          <w:b/>
          <w:i/>
        </w:rPr>
        <w:t xml:space="preserve">Population </w:t>
      </w:r>
      <w:r w:rsidR="00234F68">
        <w:rPr>
          <w:b/>
          <w:i/>
        </w:rPr>
        <w:t>Detail</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4"/>
        <w:gridCol w:w="1440"/>
        <w:gridCol w:w="1620"/>
        <w:gridCol w:w="1440"/>
        <w:gridCol w:w="1440"/>
        <w:gridCol w:w="1674"/>
      </w:tblGrid>
      <w:tr w:rsidR="00D87B3B" w:rsidRPr="00D87B3B" w14:paraId="7E6175C0" w14:textId="77777777" w:rsidTr="00EB5A40">
        <w:trPr>
          <w:trHeight w:val="260"/>
        </w:trPr>
        <w:tc>
          <w:tcPr>
            <w:tcW w:w="9008" w:type="dxa"/>
            <w:gridSpan w:val="6"/>
            <w:tcBorders>
              <w:bottom w:val="single" w:sz="4" w:space="0" w:color="000000"/>
            </w:tcBorders>
            <w:shd w:val="clear" w:color="auto" w:fill="CCFFCC"/>
          </w:tcPr>
          <w:p w14:paraId="771BBE53" w14:textId="719E5CB6" w:rsidR="00D87B3B" w:rsidRPr="00EB5A40" w:rsidRDefault="00D87B3B" w:rsidP="00D87B3B">
            <w:pPr>
              <w:pStyle w:val="TableParagraph"/>
              <w:keepNext/>
              <w:spacing w:line="229" w:lineRule="exact"/>
              <w:ind w:left="584" w:right="583" w:hanging="720"/>
              <w:outlineLvl w:val="6"/>
              <w:rPr>
                <w:rFonts w:asciiTheme="majorHAnsi" w:hAnsiTheme="majorHAnsi"/>
                <w:b/>
                <w:sz w:val="20"/>
              </w:rPr>
            </w:pPr>
            <w:r>
              <w:rPr>
                <w:rFonts w:asciiTheme="majorHAnsi" w:hAnsiTheme="majorHAnsi"/>
                <w:b/>
                <w:sz w:val="20"/>
              </w:rPr>
              <w:t>POPULATION BY GENDER</w:t>
            </w:r>
          </w:p>
        </w:tc>
      </w:tr>
      <w:tr w:rsidR="00D87B3B" w:rsidRPr="00D87B3B" w14:paraId="4E92EA89" w14:textId="77777777" w:rsidTr="00EB5A40">
        <w:trPr>
          <w:trHeight w:val="260"/>
        </w:trPr>
        <w:tc>
          <w:tcPr>
            <w:tcW w:w="1394" w:type="dxa"/>
            <w:shd w:val="clear" w:color="auto" w:fill="CCFFCC"/>
          </w:tcPr>
          <w:p w14:paraId="53CF48B7" w14:textId="6E52D986" w:rsidR="00D87B3B" w:rsidRPr="00EB5A40" w:rsidRDefault="00D87B3B" w:rsidP="00EB5A40">
            <w:pPr>
              <w:pStyle w:val="TableParagraph"/>
              <w:keepNext/>
              <w:spacing w:line="229" w:lineRule="exact"/>
              <w:ind w:left="1260" w:right="349" w:hanging="720"/>
              <w:outlineLvl w:val="6"/>
              <w:rPr>
                <w:rFonts w:asciiTheme="majorHAnsi" w:hAnsiTheme="majorHAnsi"/>
                <w:b/>
                <w:sz w:val="20"/>
              </w:rPr>
            </w:pPr>
            <w:r w:rsidRPr="00CA64E8">
              <w:rPr>
                <w:rFonts w:asciiTheme="majorHAnsi" w:hAnsiTheme="majorHAnsi"/>
                <w:b/>
                <w:sz w:val="20"/>
              </w:rPr>
              <w:t>Year</w:t>
            </w:r>
          </w:p>
        </w:tc>
        <w:tc>
          <w:tcPr>
            <w:tcW w:w="1440" w:type="dxa"/>
            <w:shd w:val="clear" w:color="auto" w:fill="CCFFCC"/>
          </w:tcPr>
          <w:p w14:paraId="52256840" w14:textId="7B6FCC95" w:rsidR="00D87B3B" w:rsidRPr="00EB5A40" w:rsidRDefault="00D87B3B" w:rsidP="00EB5A40">
            <w:pPr>
              <w:pStyle w:val="TableParagraph"/>
              <w:keepNext/>
              <w:spacing w:line="229" w:lineRule="exact"/>
              <w:ind w:left="161" w:right="161" w:hanging="720"/>
              <w:outlineLvl w:val="6"/>
              <w:rPr>
                <w:rFonts w:asciiTheme="majorHAnsi" w:hAnsiTheme="majorHAnsi"/>
                <w:b/>
                <w:sz w:val="20"/>
              </w:rPr>
            </w:pPr>
            <w:r w:rsidRPr="00CA64E8">
              <w:rPr>
                <w:rFonts w:asciiTheme="majorHAnsi" w:hAnsiTheme="majorHAnsi"/>
                <w:b/>
                <w:sz w:val="20"/>
              </w:rPr>
              <w:t>Female</w:t>
            </w:r>
          </w:p>
        </w:tc>
        <w:tc>
          <w:tcPr>
            <w:tcW w:w="1620" w:type="dxa"/>
            <w:shd w:val="clear" w:color="auto" w:fill="CCFFCC"/>
          </w:tcPr>
          <w:p w14:paraId="001D3BF1" w14:textId="0B086758" w:rsidR="00D87B3B" w:rsidRPr="00EB5A40" w:rsidRDefault="00D87B3B" w:rsidP="00EB5A40">
            <w:pPr>
              <w:pStyle w:val="TableParagraph"/>
              <w:keepNext/>
              <w:spacing w:line="229" w:lineRule="exact"/>
              <w:ind w:left="476" w:hanging="720"/>
              <w:outlineLvl w:val="6"/>
              <w:rPr>
                <w:rFonts w:asciiTheme="majorHAnsi" w:hAnsiTheme="majorHAnsi"/>
                <w:b/>
                <w:sz w:val="20"/>
              </w:rPr>
            </w:pPr>
            <w:r w:rsidRPr="00CA64E8">
              <w:rPr>
                <w:rFonts w:asciiTheme="majorHAnsi" w:hAnsiTheme="majorHAnsi"/>
                <w:b/>
                <w:sz w:val="20"/>
              </w:rPr>
              <w:t>Percent</w:t>
            </w:r>
          </w:p>
        </w:tc>
        <w:tc>
          <w:tcPr>
            <w:tcW w:w="1440" w:type="dxa"/>
            <w:shd w:val="clear" w:color="auto" w:fill="CCFFCC"/>
          </w:tcPr>
          <w:p w14:paraId="7C91341C" w14:textId="5C714E25" w:rsidR="00D87B3B" w:rsidRPr="00EB5A40" w:rsidRDefault="00D87B3B" w:rsidP="00EB5A40">
            <w:pPr>
              <w:pStyle w:val="TableParagraph"/>
              <w:keepNext/>
              <w:spacing w:line="229" w:lineRule="exact"/>
              <w:ind w:left="161" w:right="161" w:hanging="720"/>
              <w:outlineLvl w:val="6"/>
              <w:rPr>
                <w:rFonts w:asciiTheme="majorHAnsi" w:hAnsiTheme="majorHAnsi"/>
                <w:b/>
                <w:sz w:val="20"/>
              </w:rPr>
            </w:pPr>
            <w:r w:rsidRPr="00CA64E8">
              <w:rPr>
                <w:rFonts w:asciiTheme="majorHAnsi" w:hAnsiTheme="majorHAnsi"/>
                <w:b/>
                <w:sz w:val="20"/>
              </w:rPr>
              <w:t>Male</w:t>
            </w:r>
          </w:p>
        </w:tc>
        <w:tc>
          <w:tcPr>
            <w:tcW w:w="1440" w:type="dxa"/>
            <w:shd w:val="clear" w:color="auto" w:fill="CCFFCC"/>
          </w:tcPr>
          <w:p w14:paraId="698912C7" w14:textId="01CFBD9B" w:rsidR="00D87B3B" w:rsidRPr="00EB5A40" w:rsidRDefault="00D87B3B" w:rsidP="00EB5A40">
            <w:pPr>
              <w:pStyle w:val="TableParagraph"/>
              <w:keepNext/>
              <w:spacing w:line="229" w:lineRule="exact"/>
              <w:ind w:left="386" w:hanging="720"/>
              <w:outlineLvl w:val="6"/>
              <w:rPr>
                <w:rFonts w:asciiTheme="majorHAnsi" w:hAnsiTheme="majorHAnsi"/>
                <w:b/>
                <w:sz w:val="20"/>
              </w:rPr>
            </w:pPr>
            <w:r w:rsidRPr="00CA64E8">
              <w:rPr>
                <w:rFonts w:asciiTheme="majorHAnsi" w:hAnsiTheme="majorHAnsi"/>
                <w:b/>
                <w:sz w:val="20"/>
              </w:rPr>
              <w:t>Percent</w:t>
            </w:r>
          </w:p>
        </w:tc>
        <w:tc>
          <w:tcPr>
            <w:tcW w:w="1674" w:type="dxa"/>
            <w:shd w:val="clear" w:color="auto" w:fill="CCFFCC"/>
          </w:tcPr>
          <w:p w14:paraId="4AA24737" w14:textId="19A9A6D2" w:rsidR="00D87B3B" w:rsidRPr="00D87B3B" w:rsidRDefault="00D87B3B">
            <w:pPr>
              <w:pStyle w:val="TableParagraph"/>
              <w:spacing w:line="229" w:lineRule="exact"/>
              <w:ind w:left="584" w:right="583"/>
              <w:rPr>
                <w:rFonts w:asciiTheme="majorHAnsi" w:hAnsiTheme="majorHAnsi"/>
                <w:b/>
                <w:sz w:val="20"/>
              </w:rPr>
            </w:pPr>
            <w:r w:rsidRPr="00CA64E8">
              <w:rPr>
                <w:rFonts w:asciiTheme="majorHAnsi" w:hAnsiTheme="majorHAnsi"/>
                <w:b/>
                <w:sz w:val="20"/>
              </w:rPr>
              <w:t>Total</w:t>
            </w:r>
          </w:p>
        </w:tc>
      </w:tr>
      <w:tr w:rsidR="00600FFE" w:rsidRPr="00D87B3B" w14:paraId="5D673916" w14:textId="77777777" w:rsidTr="00EB5A40">
        <w:trPr>
          <w:cantSplit/>
          <w:trHeight w:hRule="exact" w:val="288"/>
        </w:trPr>
        <w:tc>
          <w:tcPr>
            <w:tcW w:w="1394" w:type="dxa"/>
            <w:vAlign w:val="center"/>
          </w:tcPr>
          <w:p w14:paraId="53D3E745" w14:textId="5C05DD01" w:rsidR="00600FFE" w:rsidRPr="00EB5A40" w:rsidRDefault="00600FFE" w:rsidP="00D87B3B">
            <w:pPr>
              <w:pStyle w:val="TableParagraph"/>
              <w:keepNext/>
              <w:spacing w:line="229" w:lineRule="exact"/>
              <w:ind w:left="1260" w:right="349" w:hanging="720"/>
              <w:jc w:val="right"/>
              <w:outlineLvl w:val="6"/>
              <w:rPr>
                <w:rFonts w:asciiTheme="majorHAnsi" w:hAnsiTheme="majorHAnsi"/>
                <w:sz w:val="20"/>
              </w:rPr>
            </w:pPr>
            <w:r w:rsidRPr="00EB5A40">
              <w:rPr>
                <w:rFonts w:asciiTheme="majorHAnsi" w:hAnsiTheme="majorHAnsi"/>
                <w:sz w:val="20"/>
              </w:rPr>
              <w:t>2015</w:t>
            </w:r>
          </w:p>
        </w:tc>
        <w:tc>
          <w:tcPr>
            <w:tcW w:w="1440" w:type="dxa"/>
            <w:vAlign w:val="center"/>
          </w:tcPr>
          <w:p w14:paraId="035C1D55" w14:textId="67FC4B4C" w:rsidR="00600FFE" w:rsidRPr="00EB5A40" w:rsidRDefault="00600FFE" w:rsidP="00EB5A40">
            <w:pPr>
              <w:pStyle w:val="TableParagraph"/>
              <w:keepNext/>
              <w:spacing w:line="229" w:lineRule="exact"/>
              <w:ind w:left="161" w:right="161" w:hanging="720"/>
              <w:outlineLvl w:val="6"/>
              <w:rPr>
                <w:rFonts w:asciiTheme="majorHAnsi" w:hAnsiTheme="majorHAnsi"/>
                <w:sz w:val="20"/>
              </w:rPr>
            </w:pPr>
            <w:r w:rsidRPr="00EB5A40">
              <w:rPr>
                <w:rFonts w:asciiTheme="majorHAnsi" w:hAnsiTheme="majorHAnsi"/>
                <w:sz w:val="20"/>
              </w:rPr>
              <w:t>378</w:t>
            </w:r>
          </w:p>
        </w:tc>
        <w:tc>
          <w:tcPr>
            <w:tcW w:w="1620" w:type="dxa"/>
            <w:vAlign w:val="center"/>
          </w:tcPr>
          <w:p w14:paraId="7FDE027E" w14:textId="7696C1D2" w:rsidR="00600FFE" w:rsidRPr="00EB5A40" w:rsidRDefault="00600FFE" w:rsidP="00EB5A40">
            <w:pPr>
              <w:pStyle w:val="TableParagraph"/>
              <w:keepNext/>
              <w:spacing w:line="229" w:lineRule="exact"/>
              <w:ind w:left="476" w:hanging="720"/>
              <w:outlineLvl w:val="6"/>
              <w:rPr>
                <w:rFonts w:asciiTheme="majorHAnsi" w:hAnsiTheme="majorHAnsi"/>
                <w:sz w:val="20"/>
              </w:rPr>
            </w:pPr>
            <w:r w:rsidRPr="00EB5A40">
              <w:rPr>
                <w:rFonts w:asciiTheme="majorHAnsi" w:hAnsiTheme="majorHAnsi"/>
                <w:sz w:val="20"/>
              </w:rPr>
              <w:t>48.7</w:t>
            </w:r>
            <w:r w:rsidR="00234F68">
              <w:rPr>
                <w:rFonts w:asciiTheme="majorHAnsi" w:hAnsiTheme="majorHAnsi"/>
                <w:sz w:val="20"/>
              </w:rPr>
              <w:t>%</w:t>
            </w:r>
          </w:p>
        </w:tc>
        <w:tc>
          <w:tcPr>
            <w:tcW w:w="1440" w:type="dxa"/>
            <w:vAlign w:val="center"/>
          </w:tcPr>
          <w:p w14:paraId="031299F5" w14:textId="54E19DF1" w:rsidR="00600FFE" w:rsidRPr="00EB5A40" w:rsidRDefault="00600FFE" w:rsidP="00EB5A40">
            <w:pPr>
              <w:pStyle w:val="TableParagraph"/>
              <w:keepNext/>
              <w:spacing w:line="229" w:lineRule="exact"/>
              <w:ind w:left="161" w:right="161" w:hanging="720"/>
              <w:outlineLvl w:val="6"/>
              <w:rPr>
                <w:rFonts w:asciiTheme="majorHAnsi" w:hAnsiTheme="majorHAnsi"/>
                <w:sz w:val="20"/>
              </w:rPr>
            </w:pPr>
            <w:r w:rsidRPr="00EB5A40">
              <w:rPr>
                <w:rFonts w:asciiTheme="majorHAnsi" w:hAnsiTheme="majorHAnsi"/>
                <w:sz w:val="20"/>
              </w:rPr>
              <w:t>398</w:t>
            </w:r>
          </w:p>
        </w:tc>
        <w:tc>
          <w:tcPr>
            <w:tcW w:w="1440" w:type="dxa"/>
            <w:vAlign w:val="center"/>
          </w:tcPr>
          <w:p w14:paraId="7BA8FAFB" w14:textId="10968C34" w:rsidR="00600FFE" w:rsidRPr="00EB5A40" w:rsidRDefault="00600FFE" w:rsidP="00EB5A40">
            <w:pPr>
              <w:pStyle w:val="TableParagraph"/>
              <w:keepNext/>
              <w:spacing w:line="229" w:lineRule="exact"/>
              <w:ind w:left="386" w:hanging="720"/>
              <w:outlineLvl w:val="6"/>
              <w:rPr>
                <w:rFonts w:asciiTheme="majorHAnsi" w:hAnsiTheme="majorHAnsi"/>
                <w:sz w:val="20"/>
              </w:rPr>
            </w:pPr>
            <w:r w:rsidRPr="00EB5A40">
              <w:rPr>
                <w:rFonts w:asciiTheme="majorHAnsi" w:hAnsiTheme="majorHAnsi"/>
                <w:sz w:val="20"/>
              </w:rPr>
              <w:t>51.3</w:t>
            </w:r>
            <w:r w:rsidR="00234F68">
              <w:rPr>
                <w:rFonts w:asciiTheme="majorHAnsi" w:hAnsiTheme="majorHAnsi"/>
                <w:sz w:val="20"/>
              </w:rPr>
              <w:t>%</w:t>
            </w:r>
          </w:p>
        </w:tc>
        <w:tc>
          <w:tcPr>
            <w:tcW w:w="1674" w:type="dxa"/>
            <w:vAlign w:val="center"/>
          </w:tcPr>
          <w:p w14:paraId="1CB16B1F" w14:textId="60D78C7B" w:rsidR="00600FFE" w:rsidRPr="00EB5A40" w:rsidRDefault="00600FFE">
            <w:pPr>
              <w:pStyle w:val="TableParagraph"/>
              <w:keepNext/>
              <w:spacing w:line="229" w:lineRule="exact"/>
              <w:ind w:left="584" w:right="583" w:hanging="720"/>
              <w:outlineLvl w:val="6"/>
              <w:rPr>
                <w:rFonts w:asciiTheme="majorHAnsi" w:hAnsiTheme="majorHAnsi"/>
                <w:sz w:val="20"/>
              </w:rPr>
            </w:pPr>
            <w:r w:rsidRPr="00EB5A40">
              <w:rPr>
                <w:rFonts w:asciiTheme="majorHAnsi" w:hAnsiTheme="majorHAnsi"/>
                <w:sz w:val="20"/>
              </w:rPr>
              <w:t>776</w:t>
            </w:r>
          </w:p>
        </w:tc>
      </w:tr>
      <w:tr w:rsidR="00600FFE" w:rsidRPr="00D87B3B" w14:paraId="5569FA0B" w14:textId="77777777" w:rsidTr="00EB5A40">
        <w:trPr>
          <w:cantSplit/>
          <w:trHeight w:hRule="exact" w:val="288"/>
        </w:trPr>
        <w:tc>
          <w:tcPr>
            <w:tcW w:w="1394" w:type="dxa"/>
            <w:vAlign w:val="center"/>
          </w:tcPr>
          <w:p w14:paraId="4230E8C0" w14:textId="5DAA5248" w:rsidR="00600FFE" w:rsidRPr="00EB5A40" w:rsidRDefault="00600FFE" w:rsidP="00D87B3B">
            <w:pPr>
              <w:pStyle w:val="TableParagraph"/>
              <w:keepNext/>
              <w:spacing w:line="229" w:lineRule="exact"/>
              <w:ind w:left="1260" w:right="349" w:hanging="720"/>
              <w:jc w:val="right"/>
              <w:outlineLvl w:val="6"/>
              <w:rPr>
                <w:rFonts w:asciiTheme="majorHAnsi" w:hAnsiTheme="majorHAnsi"/>
                <w:sz w:val="20"/>
              </w:rPr>
            </w:pPr>
            <w:r>
              <w:rPr>
                <w:rFonts w:asciiTheme="majorHAnsi" w:hAnsiTheme="majorHAnsi"/>
                <w:sz w:val="20"/>
              </w:rPr>
              <w:t>2010</w:t>
            </w:r>
          </w:p>
        </w:tc>
        <w:tc>
          <w:tcPr>
            <w:tcW w:w="1440" w:type="dxa"/>
            <w:vAlign w:val="center"/>
          </w:tcPr>
          <w:p w14:paraId="695DE5CA" w14:textId="6A238FA3" w:rsidR="00600FFE" w:rsidRPr="00EB5A40" w:rsidRDefault="00600FFE" w:rsidP="00EB5A40">
            <w:pPr>
              <w:pStyle w:val="TableParagraph"/>
              <w:keepNext/>
              <w:spacing w:line="229" w:lineRule="exact"/>
              <w:ind w:left="161" w:right="161" w:hanging="720"/>
              <w:outlineLvl w:val="6"/>
              <w:rPr>
                <w:rFonts w:asciiTheme="majorHAnsi" w:hAnsiTheme="majorHAnsi"/>
                <w:sz w:val="20"/>
              </w:rPr>
            </w:pPr>
            <w:r>
              <w:rPr>
                <w:rFonts w:asciiTheme="majorHAnsi" w:hAnsiTheme="majorHAnsi"/>
                <w:sz w:val="20"/>
              </w:rPr>
              <w:t>440</w:t>
            </w:r>
          </w:p>
        </w:tc>
        <w:tc>
          <w:tcPr>
            <w:tcW w:w="1620" w:type="dxa"/>
            <w:vAlign w:val="center"/>
          </w:tcPr>
          <w:p w14:paraId="524560A1" w14:textId="6AF2904D" w:rsidR="00600FFE" w:rsidRPr="00EB5A40" w:rsidRDefault="00600FFE" w:rsidP="00EB5A40">
            <w:pPr>
              <w:pStyle w:val="TableParagraph"/>
              <w:keepNext/>
              <w:spacing w:line="229" w:lineRule="exact"/>
              <w:ind w:left="476" w:hanging="720"/>
              <w:outlineLvl w:val="6"/>
              <w:rPr>
                <w:rFonts w:asciiTheme="majorHAnsi" w:hAnsiTheme="majorHAnsi"/>
                <w:sz w:val="20"/>
              </w:rPr>
            </w:pPr>
            <w:r>
              <w:rPr>
                <w:rFonts w:asciiTheme="majorHAnsi" w:hAnsiTheme="majorHAnsi"/>
                <w:sz w:val="20"/>
              </w:rPr>
              <w:t>47.8</w:t>
            </w:r>
            <w:r w:rsidR="00234F68">
              <w:rPr>
                <w:rFonts w:asciiTheme="majorHAnsi" w:hAnsiTheme="majorHAnsi"/>
                <w:sz w:val="20"/>
              </w:rPr>
              <w:t>%</w:t>
            </w:r>
          </w:p>
        </w:tc>
        <w:tc>
          <w:tcPr>
            <w:tcW w:w="1440" w:type="dxa"/>
            <w:vAlign w:val="center"/>
          </w:tcPr>
          <w:p w14:paraId="4A98F00E" w14:textId="12265BA6" w:rsidR="00600FFE" w:rsidRPr="00EB5A40" w:rsidRDefault="00600FFE" w:rsidP="00EB5A40">
            <w:pPr>
              <w:pStyle w:val="TableParagraph"/>
              <w:keepNext/>
              <w:spacing w:line="229" w:lineRule="exact"/>
              <w:ind w:left="161" w:right="161" w:hanging="720"/>
              <w:outlineLvl w:val="6"/>
              <w:rPr>
                <w:rFonts w:asciiTheme="majorHAnsi" w:hAnsiTheme="majorHAnsi"/>
                <w:sz w:val="20"/>
              </w:rPr>
            </w:pPr>
            <w:r>
              <w:rPr>
                <w:rFonts w:asciiTheme="majorHAnsi" w:hAnsiTheme="majorHAnsi"/>
                <w:sz w:val="20"/>
              </w:rPr>
              <w:t>481</w:t>
            </w:r>
          </w:p>
        </w:tc>
        <w:tc>
          <w:tcPr>
            <w:tcW w:w="1440" w:type="dxa"/>
            <w:vAlign w:val="center"/>
          </w:tcPr>
          <w:p w14:paraId="683E34AE" w14:textId="7A8D648E" w:rsidR="00600FFE" w:rsidRPr="00EB5A40" w:rsidRDefault="00600FFE" w:rsidP="00EB5A40">
            <w:pPr>
              <w:pStyle w:val="TableParagraph"/>
              <w:keepNext/>
              <w:spacing w:line="229" w:lineRule="exact"/>
              <w:ind w:left="386" w:hanging="720"/>
              <w:outlineLvl w:val="6"/>
              <w:rPr>
                <w:rFonts w:asciiTheme="majorHAnsi" w:hAnsiTheme="majorHAnsi"/>
                <w:sz w:val="20"/>
              </w:rPr>
            </w:pPr>
            <w:r>
              <w:rPr>
                <w:rFonts w:asciiTheme="majorHAnsi" w:hAnsiTheme="majorHAnsi"/>
                <w:sz w:val="20"/>
              </w:rPr>
              <w:t>52.2</w:t>
            </w:r>
            <w:r w:rsidR="00234F68">
              <w:rPr>
                <w:rFonts w:asciiTheme="majorHAnsi" w:hAnsiTheme="majorHAnsi"/>
                <w:sz w:val="20"/>
              </w:rPr>
              <w:t>%</w:t>
            </w:r>
          </w:p>
        </w:tc>
        <w:tc>
          <w:tcPr>
            <w:tcW w:w="1674" w:type="dxa"/>
            <w:vAlign w:val="center"/>
          </w:tcPr>
          <w:p w14:paraId="3577F11F" w14:textId="0D901141" w:rsidR="00600FFE" w:rsidRPr="00EB5A40" w:rsidRDefault="00234F68" w:rsidP="00EB5A40">
            <w:pPr>
              <w:pStyle w:val="TableParagraph"/>
              <w:keepNext/>
              <w:spacing w:line="229" w:lineRule="exact"/>
              <w:ind w:left="584" w:right="583" w:hanging="720"/>
              <w:outlineLvl w:val="6"/>
              <w:rPr>
                <w:rFonts w:asciiTheme="majorHAnsi" w:hAnsiTheme="majorHAnsi"/>
                <w:sz w:val="20"/>
              </w:rPr>
            </w:pPr>
            <w:r>
              <w:rPr>
                <w:rFonts w:asciiTheme="majorHAnsi" w:hAnsiTheme="majorHAnsi"/>
                <w:sz w:val="20"/>
              </w:rPr>
              <w:t>921</w:t>
            </w:r>
          </w:p>
        </w:tc>
      </w:tr>
      <w:tr w:rsidR="00D87B3B" w:rsidRPr="00D87B3B" w14:paraId="5768E126" w14:textId="77777777" w:rsidTr="00EB5A40">
        <w:trPr>
          <w:cantSplit/>
          <w:trHeight w:hRule="exact" w:val="288"/>
        </w:trPr>
        <w:tc>
          <w:tcPr>
            <w:tcW w:w="1394" w:type="dxa"/>
            <w:vAlign w:val="center"/>
          </w:tcPr>
          <w:p w14:paraId="1B797D42" w14:textId="77777777" w:rsidR="00D87B3B" w:rsidRPr="00EB5A40" w:rsidRDefault="00D87B3B" w:rsidP="00D87B3B">
            <w:pPr>
              <w:pStyle w:val="TableParagraph"/>
              <w:keepNext/>
              <w:spacing w:line="227" w:lineRule="exact"/>
              <w:ind w:left="1260" w:right="360" w:hanging="720"/>
              <w:jc w:val="right"/>
              <w:outlineLvl w:val="6"/>
              <w:rPr>
                <w:rFonts w:asciiTheme="majorHAnsi" w:hAnsiTheme="majorHAnsi"/>
                <w:sz w:val="20"/>
              </w:rPr>
            </w:pPr>
            <w:r w:rsidRPr="00EB5A40">
              <w:rPr>
                <w:rFonts w:asciiTheme="majorHAnsi" w:hAnsiTheme="majorHAnsi"/>
                <w:sz w:val="20"/>
              </w:rPr>
              <w:t>2000</w:t>
            </w:r>
          </w:p>
        </w:tc>
        <w:tc>
          <w:tcPr>
            <w:tcW w:w="1440" w:type="dxa"/>
            <w:vAlign w:val="center"/>
          </w:tcPr>
          <w:p w14:paraId="1EC71655" w14:textId="77777777" w:rsidR="00D87B3B" w:rsidRPr="00EB5A40" w:rsidRDefault="00D87B3B" w:rsidP="00EB5A40">
            <w:pPr>
              <w:pStyle w:val="TableParagraph"/>
              <w:keepNext/>
              <w:spacing w:line="227" w:lineRule="exact"/>
              <w:ind w:left="161" w:right="161" w:hanging="720"/>
              <w:outlineLvl w:val="6"/>
              <w:rPr>
                <w:rFonts w:asciiTheme="majorHAnsi" w:hAnsiTheme="majorHAnsi"/>
                <w:sz w:val="20"/>
              </w:rPr>
            </w:pPr>
            <w:r w:rsidRPr="00EB5A40">
              <w:rPr>
                <w:rFonts w:asciiTheme="majorHAnsi" w:hAnsiTheme="majorHAnsi"/>
                <w:sz w:val="20"/>
              </w:rPr>
              <w:t>370</w:t>
            </w:r>
          </w:p>
        </w:tc>
        <w:tc>
          <w:tcPr>
            <w:tcW w:w="1620" w:type="dxa"/>
            <w:vAlign w:val="center"/>
          </w:tcPr>
          <w:p w14:paraId="56B08E0C" w14:textId="77777777" w:rsidR="00D87B3B" w:rsidRPr="00EB5A40" w:rsidRDefault="00D87B3B" w:rsidP="00EB5A40">
            <w:pPr>
              <w:pStyle w:val="TableParagraph"/>
              <w:keepNext/>
              <w:spacing w:line="227" w:lineRule="exact"/>
              <w:ind w:left="495" w:hanging="720"/>
              <w:outlineLvl w:val="6"/>
              <w:rPr>
                <w:rFonts w:asciiTheme="majorHAnsi" w:hAnsiTheme="majorHAnsi"/>
                <w:sz w:val="20"/>
              </w:rPr>
            </w:pPr>
            <w:r w:rsidRPr="00EB5A40">
              <w:rPr>
                <w:rFonts w:asciiTheme="majorHAnsi" w:hAnsiTheme="majorHAnsi"/>
                <w:sz w:val="20"/>
              </w:rPr>
              <w:t>49.8%</w:t>
            </w:r>
          </w:p>
        </w:tc>
        <w:tc>
          <w:tcPr>
            <w:tcW w:w="1440" w:type="dxa"/>
            <w:vAlign w:val="center"/>
          </w:tcPr>
          <w:p w14:paraId="4E465406" w14:textId="77777777" w:rsidR="00D87B3B" w:rsidRPr="00EB5A40" w:rsidRDefault="00D87B3B" w:rsidP="00EB5A40">
            <w:pPr>
              <w:pStyle w:val="TableParagraph"/>
              <w:keepNext/>
              <w:spacing w:line="227" w:lineRule="exact"/>
              <w:ind w:left="160" w:right="161" w:hanging="720"/>
              <w:outlineLvl w:val="6"/>
              <w:rPr>
                <w:rFonts w:asciiTheme="majorHAnsi" w:hAnsiTheme="majorHAnsi"/>
                <w:sz w:val="20"/>
              </w:rPr>
            </w:pPr>
            <w:r w:rsidRPr="00EB5A40">
              <w:rPr>
                <w:rFonts w:asciiTheme="majorHAnsi" w:hAnsiTheme="majorHAnsi"/>
                <w:sz w:val="20"/>
              </w:rPr>
              <w:t>373</w:t>
            </w:r>
          </w:p>
        </w:tc>
        <w:tc>
          <w:tcPr>
            <w:tcW w:w="1440" w:type="dxa"/>
            <w:vAlign w:val="center"/>
          </w:tcPr>
          <w:p w14:paraId="7B125912" w14:textId="77777777" w:rsidR="00D87B3B" w:rsidRPr="00EB5A40" w:rsidRDefault="00D87B3B" w:rsidP="00EB5A40">
            <w:pPr>
              <w:pStyle w:val="TableParagraph"/>
              <w:keepNext/>
              <w:spacing w:line="227" w:lineRule="exact"/>
              <w:ind w:left="405" w:hanging="720"/>
              <w:outlineLvl w:val="6"/>
              <w:rPr>
                <w:rFonts w:asciiTheme="majorHAnsi" w:hAnsiTheme="majorHAnsi"/>
                <w:sz w:val="20"/>
              </w:rPr>
            </w:pPr>
            <w:r w:rsidRPr="00EB5A40">
              <w:rPr>
                <w:rFonts w:asciiTheme="majorHAnsi" w:hAnsiTheme="majorHAnsi"/>
                <w:sz w:val="20"/>
              </w:rPr>
              <w:t>50.2%</w:t>
            </w:r>
          </w:p>
        </w:tc>
        <w:tc>
          <w:tcPr>
            <w:tcW w:w="1674" w:type="dxa"/>
            <w:vAlign w:val="center"/>
          </w:tcPr>
          <w:p w14:paraId="09F00127" w14:textId="77777777" w:rsidR="00D87B3B" w:rsidRPr="00EB5A40" w:rsidRDefault="00D87B3B" w:rsidP="00EB5A40">
            <w:pPr>
              <w:pStyle w:val="TableParagraph"/>
              <w:keepNext/>
              <w:spacing w:line="227" w:lineRule="exact"/>
              <w:ind w:left="583" w:right="583" w:hanging="720"/>
              <w:outlineLvl w:val="6"/>
              <w:rPr>
                <w:rFonts w:asciiTheme="majorHAnsi" w:hAnsiTheme="majorHAnsi"/>
                <w:sz w:val="20"/>
              </w:rPr>
            </w:pPr>
            <w:r w:rsidRPr="00EB5A40">
              <w:rPr>
                <w:rFonts w:asciiTheme="majorHAnsi" w:hAnsiTheme="majorHAnsi"/>
                <w:sz w:val="20"/>
              </w:rPr>
              <w:t>743</w:t>
            </w:r>
          </w:p>
        </w:tc>
      </w:tr>
      <w:tr w:rsidR="00D87B3B" w:rsidRPr="00D87B3B" w14:paraId="595A58F2" w14:textId="77777777" w:rsidTr="00EB5A40">
        <w:trPr>
          <w:cantSplit/>
          <w:trHeight w:hRule="exact" w:val="288"/>
        </w:trPr>
        <w:tc>
          <w:tcPr>
            <w:tcW w:w="1394" w:type="dxa"/>
            <w:vAlign w:val="center"/>
          </w:tcPr>
          <w:p w14:paraId="6D92608B" w14:textId="77777777" w:rsidR="00D87B3B" w:rsidRPr="00EB5A40" w:rsidRDefault="00D87B3B" w:rsidP="00D87B3B">
            <w:pPr>
              <w:pStyle w:val="TableParagraph"/>
              <w:keepNext/>
              <w:spacing w:line="227" w:lineRule="exact"/>
              <w:ind w:left="1260" w:right="360" w:hanging="720"/>
              <w:jc w:val="right"/>
              <w:outlineLvl w:val="6"/>
              <w:rPr>
                <w:rFonts w:asciiTheme="majorHAnsi" w:hAnsiTheme="majorHAnsi"/>
                <w:sz w:val="20"/>
              </w:rPr>
            </w:pPr>
            <w:r w:rsidRPr="00EB5A40">
              <w:rPr>
                <w:rFonts w:asciiTheme="majorHAnsi" w:hAnsiTheme="majorHAnsi"/>
                <w:sz w:val="20"/>
              </w:rPr>
              <w:t>1990</w:t>
            </w:r>
          </w:p>
        </w:tc>
        <w:tc>
          <w:tcPr>
            <w:tcW w:w="1440" w:type="dxa"/>
            <w:vAlign w:val="center"/>
          </w:tcPr>
          <w:p w14:paraId="238EAA5C" w14:textId="77777777" w:rsidR="00D87B3B" w:rsidRPr="00EB5A40" w:rsidRDefault="00D87B3B" w:rsidP="00EB5A40">
            <w:pPr>
              <w:pStyle w:val="TableParagraph"/>
              <w:keepNext/>
              <w:spacing w:line="227" w:lineRule="exact"/>
              <w:ind w:left="161" w:right="161" w:hanging="720"/>
              <w:outlineLvl w:val="6"/>
              <w:rPr>
                <w:rFonts w:asciiTheme="majorHAnsi" w:hAnsiTheme="majorHAnsi"/>
                <w:sz w:val="20"/>
              </w:rPr>
            </w:pPr>
            <w:r w:rsidRPr="00EB5A40">
              <w:rPr>
                <w:rFonts w:asciiTheme="majorHAnsi" w:hAnsiTheme="majorHAnsi"/>
                <w:sz w:val="20"/>
              </w:rPr>
              <w:t>309</w:t>
            </w:r>
          </w:p>
        </w:tc>
        <w:tc>
          <w:tcPr>
            <w:tcW w:w="1620" w:type="dxa"/>
            <w:vAlign w:val="center"/>
          </w:tcPr>
          <w:p w14:paraId="332A5A9F" w14:textId="77777777" w:rsidR="00D87B3B" w:rsidRPr="00EB5A40" w:rsidRDefault="00D87B3B" w:rsidP="00EB5A40">
            <w:pPr>
              <w:pStyle w:val="TableParagraph"/>
              <w:keepNext/>
              <w:spacing w:line="227" w:lineRule="exact"/>
              <w:ind w:left="495" w:hanging="720"/>
              <w:outlineLvl w:val="6"/>
              <w:rPr>
                <w:rFonts w:asciiTheme="majorHAnsi" w:hAnsiTheme="majorHAnsi"/>
                <w:sz w:val="20"/>
              </w:rPr>
            </w:pPr>
            <w:r w:rsidRPr="00EB5A40">
              <w:rPr>
                <w:rFonts w:asciiTheme="majorHAnsi" w:hAnsiTheme="majorHAnsi"/>
                <w:sz w:val="20"/>
              </w:rPr>
              <w:t>50.9%</w:t>
            </w:r>
          </w:p>
        </w:tc>
        <w:tc>
          <w:tcPr>
            <w:tcW w:w="1440" w:type="dxa"/>
            <w:vAlign w:val="center"/>
          </w:tcPr>
          <w:p w14:paraId="7AE35F5F" w14:textId="77777777" w:rsidR="00D87B3B" w:rsidRPr="00EB5A40" w:rsidRDefault="00D87B3B" w:rsidP="00EB5A40">
            <w:pPr>
              <w:pStyle w:val="TableParagraph"/>
              <w:keepNext/>
              <w:spacing w:line="227" w:lineRule="exact"/>
              <w:ind w:left="160" w:right="161" w:hanging="720"/>
              <w:outlineLvl w:val="6"/>
              <w:rPr>
                <w:rFonts w:asciiTheme="majorHAnsi" w:hAnsiTheme="majorHAnsi"/>
                <w:sz w:val="20"/>
              </w:rPr>
            </w:pPr>
            <w:r w:rsidRPr="00EB5A40">
              <w:rPr>
                <w:rFonts w:asciiTheme="majorHAnsi" w:hAnsiTheme="majorHAnsi"/>
                <w:sz w:val="20"/>
              </w:rPr>
              <w:t>298</w:t>
            </w:r>
          </w:p>
        </w:tc>
        <w:tc>
          <w:tcPr>
            <w:tcW w:w="1440" w:type="dxa"/>
            <w:vAlign w:val="center"/>
          </w:tcPr>
          <w:p w14:paraId="7FCEC900" w14:textId="77777777" w:rsidR="00D87B3B" w:rsidRPr="00EB5A40" w:rsidRDefault="00D87B3B" w:rsidP="00EB5A40">
            <w:pPr>
              <w:pStyle w:val="TableParagraph"/>
              <w:keepNext/>
              <w:spacing w:line="227" w:lineRule="exact"/>
              <w:ind w:left="405" w:hanging="720"/>
              <w:outlineLvl w:val="6"/>
              <w:rPr>
                <w:rFonts w:asciiTheme="majorHAnsi" w:hAnsiTheme="majorHAnsi"/>
                <w:sz w:val="20"/>
              </w:rPr>
            </w:pPr>
            <w:r w:rsidRPr="00EB5A40">
              <w:rPr>
                <w:rFonts w:asciiTheme="majorHAnsi" w:hAnsiTheme="majorHAnsi"/>
                <w:sz w:val="20"/>
              </w:rPr>
              <w:t>49.1%</w:t>
            </w:r>
          </w:p>
        </w:tc>
        <w:tc>
          <w:tcPr>
            <w:tcW w:w="1674" w:type="dxa"/>
            <w:vAlign w:val="center"/>
          </w:tcPr>
          <w:p w14:paraId="3B021131" w14:textId="77777777" w:rsidR="00D87B3B" w:rsidRPr="00EB5A40" w:rsidRDefault="00D87B3B" w:rsidP="00EB5A40">
            <w:pPr>
              <w:pStyle w:val="TableParagraph"/>
              <w:keepNext/>
              <w:spacing w:line="227" w:lineRule="exact"/>
              <w:ind w:left="583" w:right="583" w:hanging="720"/>
              <w:outlineLvl w:val="6"/>
              <w:rPr>
                <w:rFonts w:asciiTheme="majorHAnsi" w:hAnsiTheme="majorHAnsi"/>
                <w:sz w:val="20"/>
              </w:rPr>
            </w:pPr>
            <w:r w:rsidRPr="00EB5A40">
              <w:rPr>
                <w:rFonts w:asciiTheme="majorHAnsi" w:hAnsiTheme="majorHAnsi"/>
                <w:sz w:val="20"/>
              </w:rPr>
              <w:t>607</w:t>
            </w:r>
          </w:p>
        </w:tc>
      </w:tr>
    </w:tbl>
    <w:p w14:paraId="1E52DA1A" w14:textId="77777777" w:rsidR="00D87B3B" w:rsidRDefault="00D87B3B" w:rsidP="005C2AE0">
      <w:pPr>
        <w:widowControl w:val="0"/>
        <w:spacing w:after="120"/>
      </w:pPr>
    </w:p>
    <w:tbl>
      <w:tblPr>
        <w:tblW w:w="9000" w:type="dxa"/>
        <w:tblInd w:w="108" w:type="dxa"/>
        <w:tblLayout w:type="fixed"/>
        <w:tblLook w:val="04A0" w:firstRow="1" w:lastRow="0" w:firstColumn="1" w:lastColumn="0" w:noHBand="0" w:noVBand="1"/>
      </w:tblPr>
      <w:tblGrid>
        <w:gridCol w:w="1125"/>
        <w:gridCol w:w="1125"/>
        <w:gridCol w:w="1125"/>
        <w:gridCol w:w="1125"/>
        <w:gridCol w:w="1125"/>
        <w:gridCol w:w="1125"/>
        <w:gridCol w:w="1125"/>
        <w:gridCol w:w="1125"/>
      </w:tblGrid>
      <w:tr w:rsidR="00E04D69" w:rsidRPr="0065370E" w14:paraId="3875245B" w14:textId="77777777" w:rsidTr="00EB5A40">
        <w:trPr>
          <w:trHeight w:val="580"/>
          <w:tblHeader/>
        </w:trPr>
        <w:tc>
          <w:tcPr>
            <w:tcW w:w="9000" w:type="dxa"/>
            <w:gridSpan w:val="8"/>
            <w:tcBorders>
              <w:top w:val="single" w:sz="8" w:space="0" w:color="auto"/>
              <w:left w:val="single" w:sz="8" w:space="0" w:color="auto"/>
              <w:bottom w:val="single" w:sz="8" w:space="0" w:color="auto"/>
              <w:right w:val="single" w:sz="8" w:space="0" w:color="auto"/>
            </w:tcBorders>
            <w:shd w:val="clear" w:color="000000" w:fill="CCFFCC"/>
            <w:vAlign w:val="bottom"/>
            <w:hideMark/>
          </w:tcPr>
          <w:p w14:paraId="0DC0CC95" w14:textId="77777777" w:rsidR="00E04D69" w:rsidRPr="00EB5A40" w:rsidRDefault="00E04D69" w:rsidP="00E04D69">
            <w:pPr>
              <w:jc w:val="center"/>
              <w:rPr>
                <w:b/>
                <w:bCs/>
                <w:color w:val="000000"/>
                <w:sz w:val="20"/>
                <w:szCs w:val="20"/>
              </w:rPr>
            </w:pPr>
            <w:r w:rsidRPr="00EB5A40">
              <w:rPr>
                <w:b/>
                <w:bCs/>
                <w:color w:val="000000"/>
                <w:sz w:val="20"/>
                <w:szCs w:val="20"/>
              </w:rPr>
              <w:t>AGE DEMOGRAPHICS</w:t>
            </w:r>
          </w:p>
        </w:tc>
      </w:tr>
      <w:tr w:rsidR="008845C2" w:rsidRPr="0065370E" w14:paraId="199EB24E" w14:textId="77777777" w:rsidTr="00EB5A40">
        <w:trPr>
          <w:trHeight w:val="620"/>
          <w:tblHeader/>
        </w:trPr>
        <w:tc>
          <w:tcPr>
            <w:tcW w:w="1125" w:type="dxa"/>
            <w:tcBorders>
              <w:top w:val="nil"/>
              <w:left w:val="single" w:sz="8" w:space="0" w:color="auto"/>
              <w:bottom w:val="single" w:sz="8" w:space="0" w:color="auto"/>
              <w:right w:val="single" w:sz="8" w:space="0" w:color="auto"/>
            </w:tcBorders>
            <w:shd w:val="clear" w:color="000000" w:fill="CCFFCC"/>
            <w:noWrap/>
            <w:vAlign w:val="center"/>
            <w:hideMark/>
          </w:tcPr>
          <w:p w14:paraId="010081B1" w14:textId="77777777" w:rsidR="00E04D69" w:rsidRPr="00EB5A40" w:rsidRDefault="00E04D69" w:rsidP="00E04D69">
            <w:pPr>
              <w:jc w:val="center"/>
              <w:rPr>
                <w:b/>
                <w:bCs/>
                <w:color w:val="000000"/>
                <w:sz w:val="20"/>
                <w:szCs w:val="20"/>
              </w:rPr>
            </w:pPr>
            <w:r w:rsidRPr="00EB5A40">
              <w:rPr>
                <w:b/>
                <w:bCs/>
                <w:color w:val="000000"/>
                <w:sz w:val="20"/>
                <w:szCs w:val="20"/>
              </w:rPr>
              <w:t> </w:t>
            </w:r>
          </w:p>
        </w:tc>
        <w:tc>
          <w:tcPr>
            <w:tcW w:w="1125" w:type="dxa"/>
            <w:tcBorders>
              <w:top w:val="nil"/>
              <w:left w:val="nil"/>
              <w:bottom w:val="single" w:sz="8" w:space="0" w:color="auto"/>
              <w:right w:val="single" w:sz="8" w:space="0" w:color="auto"/>
            </w:tcBorders>
            <w:shd w:val="clear" w:color="000000" w:fill="CCFFCC"/>
            <w:vAlign w:val="center"/>
            <w:hideMark/>
          </w:tcPr>
          <w:p w14:paraId="0B7C137C" w14:textId="77777777" w:rsidR="00E04D69" w:rsidRPr="00EB5A40" w:rsidRDefault="00E04D69" w:rsidP="00E04D69">
            <w:pPr>
              <w:jc w:val="center"/>
              <w:rPr>
                <w:b/>
                <w:bCs/>
                <w:color w:val="000000"/>
                <w:sz w:val="20"/>
                <w:szCs w:val="20"/>
              </w:rPr>
            </w:pPr>
            <w:r w:rsidRPr="00EB5A40">
              <w:rPr>
                <w:b/>
                <w:bCs/>
                <w:color w:val="000000"/>
                <w:sz w:val="20"/>
                <w:szCs w:val="20"/>
              </w:rPr>
              <w:t>1990</w:t>
            </w:r>
          </w:p>
        </w:tc>
        <w:tc>
          <w:tcPr>
            <w:tcW w:w="1125" w:type="dxa"/>
            <w:tcBorders>
              <w:top w:val="nil"/>
              <w:left w:val="nil"/>
              <w:bottom w:val="single" w:sz="8" w:space="0" w:color="auto"/>
              <w:right w:val="single" w:sz="8" w:space="0" w:color="auto"/>
            </w:tcBorders>
            <w:shd w:val="clear" w:color="000000" w:fill="CCFFCC"/>
            <w:vAlign w:val="center"/>
            <w:hideMark/>
          </w:tcPr>
          <w:p w14:paraId="320427A8" w14:textId="77777777" w:rsidR="00E04D69" w:rsidRPr="00EB5A40" w:rsidRDefault="00E04D69" w:rsidP="00E04D69">
            <w:pPr>
              <w:jc w:val="center"/>
              <w:rPr>
                <w:b/>
                <w:bCs/>
                <w:color w:val="000000"/>
                <w:sz w:val="20"/>
                <w:szCs w:val="20"/>
              </w:rPr>
            </w:pPr>
            <w:r w:rsidRPr="00EB5A40">
              <w:rPr>
                <w:b/>
                <w:bCs/>
                <w:color w:val="000000"/>
                <w:sz w:val="20"/>
                <w:szCs w:val="20"/>
              </w:rPr>
              <w:t>Rate of Change</w:t>
            </w:r>
          </w:p>
        </w:tc>
        <w:tc>
          <w:tcPr>
            <w:tcW w:w="1125" w:type="dxa"/>
            <w:tcBorders>
              <w:top w:val="nil"/>
              <w:left w:val="nil"/>
              <w:bottom w:val="single" w:sz="8" w:space="0" w:color="auto"/>
              <w:right w:val="single" w:sz="8" w:space="0" w:color="auto"/>
            </w:tcBorders>
            <w:shd w:val="clear" w:color="000000" w:fill="CCFFCC"/>
            <w:vAlign w:val="center"/>
            <w:hideMark/>
          </w:tcPr>
          <w:p w14:paraId="6472326E" w14:textId="77777777" w:rsidR="00E04D69" w:rsidRPr="00EB5A40" w:rsidRDefault="00E04D69" w:rsidP="00E04D69">
            <w:pPr>
              <w:jc w:val="center"/>
              <w:rPr>
                <w:b/>
                <w:bCs/>
                <w:color w:val="000000"/>
                <w:sz w:val="20"/>
                <w:szCs w:val="20"/>
              </w:rPr>
            </w:pPr>
            <w:r w:rsidRPr="00EB5A40">
              <w:rPr>
                <w:b/>
                <w:bCs/>
                <w:color w:val="000000"/>
                <w:sz w:val="20"/>
                <w:szCs w:val="20"/>
              </w:rPr>
              <w:t>2000</w:t>
            </w:r>
          </w:p>
        </w:tc>
        <w:tc>
          <w:tcPr>
            <w:tcW w:w="1125" w:type="dxa"/>
            <w:tcBorders>
              <w:top w:val="nil"/>
              <w:left w:val="nil"/>
              <w:bottom w:val="single" w:sz="8" w:space="0" w:color="auto"/>
              <w:right w:val="single" w:sz="8" w:space="0" w:color="auto"/>
            </w:tcBorders>
            <w:shd w:val="clear" w:color="000000" w:fill="CCFFCC"/>
            <w:vAlign w:val="center"/>
            <w:hideMark/>
          </w:tcPr>
          <w:p w14:paraId="0C0598B8" w14:textId="77777777" w:rsidR="00E04D69" w:rsidRPr="00EB5A40" w:rsidRDefault="00E04D69" w:rsidP="00E04D69">
            <w:pPr>
              <w:jc w:val="center"/>
              <w:rPr>
                <w:b/>
                <w:bCs/>
                <w:color w:val="000000"/>
                <w:sz w:val="20"/>
                <w:szCs w:val="20"/>
              </w:rPr>
            </w:pPr>
            <w:r w:rsidRPr="00EB5A40">
              <w:rPr>
                <w:b/>
                <w:bCs/>
                <w:color w:val="000000"/>
                <w:sz w:val="20"/>
                <w:szCs w:val="20"/>
              </w:rPr>
              <w:t>Rate of Change</w:t>
            </w:r>
          </w:p>
        </w:tc>
        <w:tc>
          <w:tcPr>
            <w:tcW w:w="1125" w:type="dxa"/>
            <w:tcBorders>
              <w:top w:val="nil"/>
              <w:left w:val="nil"/>
              <w:bottom w:val="single" w:sz="8" w:space="0" w:color="auto"/>
              <w:right w:val="single" w:sz="8" w:space="0" w:color="auto"/>
            </w:tcBorders>
            <w:shd w:val="clear" w:color="000000" w:fill="CCFFCC"/>
            <w:vAlign w:val="center"/>
            <w:hideMark/>
          </w:tcPr>
          <w:p w14:paraId="4DC0721B" w14:textId="77777777" w:rsidR="00E04D69" w:rsidRPr="00EB5A40" w:rsidRDefault="00E04D69" w:rsidP="00E04D69">
            <w:pPr>
              <w:jc w:val="center"/>
              <w:rPr>
                <w:b/>
                <w:bCs/>
                <w:color w:val="000000"/>
                <w:sz w:val="20"/>
                <w:szCs w:val="20"/>
              </w:rPr>
            </w:pPr>
            <w:r w:rsidRPr="00EB5A40">
              <w:rPr>
                <w:b/>
                <w:bCs/>
                <w:color w:val="000000"/>
                <w:sz w:val="20"/>
                <w:szCs w:val="20"/>
              </w:rPr>
              <w:t>2010</w:t>
            </w:r>
          </w:p>
        </w:tc>
        <w:tc>
          <w:tcPr>
            <w:tcW w:w="1125" w:type="dxa"/>
            <w:tcBorders>
              <w:top w:val="nil"/>
              <w:left w:val="nil"/>
              <w:bottom w:val="single" w:sz="8" w:space="0" w:color="auto"/>
              <w:right w:val="single" w:sz="8" w:space="0" w:color="auto"/>
            </w:tcBorders>
            <w:shd w:val="clear" w:color="000000" w:fill="CCFFCC"/>
            <w:vAlign w:val="center"/>
            <w:hideMark/>
          </w:tcPr>
          <w:p w14:paraId="6AE6568A" w14:textId="77777777" w:rsidR="00E04D69" w:rsidRPr="00EB5A40" w:rsidRDefault="00E04D69" w:rsidP="00E04D69">
            <w:pPr>
              <w:jc w:val="center"/>
              <w:rPr>
                <w:b/>
                <w:bCs/>
                <w:color w:val="000000"/>
                <w:sz w:val="20"/>
                <w:szCs w:val="20"/>
              </w:rPr>
            </w:pPr>
            <w:r w:rsidRPr="00EB5A40">
              <w:rPr>
                <w:b/>
                <w:bCs/>
                <w:color w:val="000000"/>
                <w:sz w:val="20"/>
                <w:szCs w:val="20"/>
              </w:rPr>
              <w:t>Rate of Change</w:t>
            </w:r>
          </w:p>
        </w:tc>
        <w:tc>
          <w:tcPr>
            <w:tcW w:w="1125" w:type="dxa"/>
            <w:tcBorders>
              <w:top w:val="nil"/>
              <w:left w:val="nil"/>
              <w:bottom w:val="single" w:sz="8" w:space="0" w:color="auto"/>
              <w:right w:val="single" w:sz="8" w:space="0" w:color="auto"/>
            </w:tcBorders>
            <w:shd w:val="clear" w:color="000000" w:fill="CCFFCC"/>
            <w:vAlign w:val="center"/>
            <w:hideMark/>
          </w:tcPr>
          <w:p w14:paraId="2192D915" w14:textId="77777777" w:rsidR="00E04D69" w:rsidRPr="00EB5A40" w:rsidRDefault="00E04D69" w:rsidP="00E04D69">
            <w:pPr>
              <w:jc w:val="center"/>
              <w:rPr>
                <w:b/>
                <w:bCs/>
                <w:color w:val="000000"/>
                <w:sz w:val="20"/>
                <w:szCs w:val="20"/>
              </w:rPr>
            </w:pPr>
            <w:r w:rsidRPr="00EB5A40">
              <w:rPr>
                <w:b/>
                <w:bCs/>
                <w:color w:val="000000"/>
                <w:sz w:val="20"/>
                <w:szCs w:val="20"/>
              </w:rPr>
              <w:t>2015</w:t>
            </w:r>
          </w:p>
        </w:tc>
      </w:tr>
      <w:tr w:rsidR="008845C2" w:rsidRPr="0065370E" w14:paraId="4D8BE61A" w14:textId="77777777" w:rsidTr="00EB5A40">
        <w:trPr>
          <w:trHeight w:val="288"/>
        </w:trPr>
        <w:tc>
          <w:tcPr>
            <w:tcW w:w="1125" w:type="dxa"/>
            <w:tcBorders>
              <w:top w:val="nil"/>
              <w:left w:val="single" w:sz="8" w:space="0" w:color="auto"/>
              <w:bottom w:val="single" w:sz="8" w:space="0" w:color="auto"/>
              <w:right w:val="single" w:sz="8" w:space="0" w:color="auto"/>
            </w:tcBorders>
            <w:shd w:val="clear" w:color="000000" w:fill="CCFFCC"/>
            <w:noWrap/>
            <w:vAlign w:val="center"/>
            <w:hideMark/>
          </w:tcPr>
          <w:p w14:paraId="782B0C3C" w14:textId="77777777" w:rsidR="00E04D69" w:rsidRPr="00EB5A40" w:rsidRDefault="00E04D69">
            <w:pPr>
              <w:jc w:val="center"/>
              <w:rPr>
                <w:color w:val="000000"/>
                <w:sz w:val="20"/>
                <w:szCs w:val="20"/>
              </w:rPr>
            </w:pPr>
            <w:r w:rsidRPr="00EB5A40">
              <w:rPr>
                <w:color w:val="000000"/>
                <w:sz w:val="20"/>
                <w:szCs w:val="20"/>
              </w:rPr>
              <w:t>Under 5</w:t>
            </w:r>
          </w:p>
        </w:tc>
        <w:tc>
          <w:tcPr>
            <w:tcW w:w="1125" w:type="dxa"/>
            <w:tcBorders>
              <w:top w:val="nil"/>
              <w:left w:val="nil"/>
              <w:bottom w:val="single" w:sz="8" w:space="0" w:color="auto"/>
              <w:right w:val="single" w:sz="8" w:space="0" w:color="auto"/>
            </w:tcBorders>
            <w:shd w:val="clear" w:color="auto" w:fill="auto"/>
            <w:noWrap/>
            <w:vAlign w:val="center"/>
            <w:hideMark/>
          </w:tcPr>
          <w:p w14:paraId="268158F4" w14:textId="77777777" w:rsidR="00E04D69" w:rsidRPr="00EB5A40" w:rsidRDefault="00E04D69">
            <w:pPr>
              <w:jc w:val="center"/>
              <w:rPr>
                <w:color w:val="000000"/>
                <w:sz w:val="20"/>
                <w:szCs w:val="20"/>
              </w:rPr>
            </w:pPr>
            <w:r w:rsidRPr="00EB5A40">
              <w:rPr>
                <w:color w:val="000000"/>
                <w:sz w:val="20"/>
                <w:szCs w:val="20"/>
              </w:rPr>
              <w:t>36</w:t>
            </w:r>
          </w:p>
        </w:tc>
        <w:tc>
          <w:tcPr>
            <w:tcW w:w="1125" w:type="dxa"/>
            <w:tcBorders>
              <w:top w:val="nil"/>
              <w:left w:val="nil"/>
              <w:bottom w:val="single" w:sz="8" w:space="0" w:color="auto"/>
              <w:right w:val="single" w:sz="8" w:space="0" w:color="auto"/>
            </w:tcBorders>
            <w:shd w:val="clear" w:color="auto" w:fill="auto"/>
            <w:noWrap/>
            <w:vAlign w:val="center"/>
            <w:hideMark/>
          </w:tcPr>
          <w:p w14:paraId="4B3E458F" w14:textId="77777777" w:rsidR="00E04D69" w:rsidRPr="00EB5A40" w:rsidRDefault="00E04D69">
            <w:pPr>
              <w:jc w:val="center"/>
              <w:rPr>
                <w:color w:val="000000"/>
                <w:sz w:val="20"/>
                <w:szCs w:val="20"/>
              </w:rPr>
            </w:pPr>
            <w:r w:rsidRPr="00EB5A40">
              <w:rPr>
                <w:color w:val="000000"/>
                <w:sz w:val="20"/>
                <w:szCs w:val="20"/>
              </w:rPr>
              <w:t>8.3%</w:t>
            </w:r>
          </w:p>
        </w:tc>
        <w:tc>
          <w:tcPr>
            <w:tcW w:w="1125" w:type="dxa"/>
            <w:tcBorders>
              <w:top w:val="nil"/>
              <w:left w:val="nil"/>
              <w:bottom w:val="single" w:sz="8" w:space="0" w:color="auto"/>
              <w:right w:val="single" w:sz="8" w:space="0" w:color="auto"/>
            </w:tcBorders>
            <w:shd w:val="clear" w:color="auto" w:fill="auto"/>
            <w:noWrap/>
            <w:vAlign w:val="center"/>
            <w:hideMark/>
          </w:tcPr>
          <w:p w14:paraId="2EFF4C47" w14:textId="77777777" w:rsidR="00E04D69" w:rsidRPr="00EB5A40" w:rsidRDefault="00E04D69">
            <w:pPr>
              <w:jc w:val="center"/>
              <w:rPr>
                <w:color w:val="000000"/>
                <w:sz w:val="20"/>
                <w:szCs w:val="20"/>
              </w:rPr>
            </w:pPr>
            <w:r w:rsidRPr="00EB5A40">
              <w:rPr>
                <w:color w:val="000000"/>
                <w:sz w:val="20"/>
                <w:szCs w:val="20"/>
              </w:rPr>
              <w:t>39</w:t>
            </w:r>
          </w:p>
        </w:tc>
        <w:tc>
          <w:tcPr>
            <w:tcW w:w="1125" w:type="dxa"/>
            <w:tcBorders>
              <w:top w:val="nil"/>
              <w:left w:val="nil"/>
              <w:bottom w:val="single" w:sz="8" w:space="0" w:color="auto"/>
              <w:right w:val="single" w:sz="8" w:space="0" w:color="auto"/>
            </w:tcBorders>
            <w:shd w:val="clear" w:color="auto" w:fill="auto"/>
            <w:noWrap/>
            <w:vAlign w:val="center"/>
            <w:hideMark/>
          </w:tcPr>
          <w:p w14:paraId="131E04A8" w14:textId="77777777" w:rsidR="00E04D69" w:rsidRPr="00EB5A40" w:rsidRDefault="00E04D69">
            <w:pPr>
              <w:jc w:val="center"/>
              <w:rPr>
                <w:color w:val="000000"/>
                <w:sz w:val="20"/>
                <w:szCs w:val="20"/>
              </w:rPr>
            </w:pPr>
            <w:r w:rsidRPr="00EB5A40">
              <w:rPr>
                <w:color w:val="000000"/>
                <w:sz w:val="20"/>
                <w:szCs w:val="20"/>
              </w:rPr>
              <w:t>17.9%</w:t>
            </w:r>
          </w:p>
        </w:tc>
        <w:tc>
          <w:tcPr>
            <w:tcW w:w="1125" w:type="dxa"/>
            <w:tcBorders>
              <w:top w:val="nil"/>
              <w:left w:val="nil"/>
              <w:bottom w:val="single" w:sz="8" w:space="0" w:color="auto"/>
              <w:right w:val="single" w:sz="8" w:space="0" w:color="auto"/>
            </w:tcBorders>
            <w:shd w:val="clear" w:color="auto" w:fill="auto"/>
            <w:noWrap/>
            <w:vAlign w:val="center"/>
            <w:hideMark/>
          </w:tcPr>
          <w:p w14:paraId="01A551BD" w14:textId="77777777" w:rsidR="00E04D69" w:rsidRPr="00EB5A40" w:rsidRDefault="00E04D69">
            <w:pPr>
              <w:jc w:val="center"/>
              <w:rPr>
                <w:color w:val="000000"/>
                <w:sz w:val="20"/>
                <w:szCs w:val="20"/>
              </w:rPr>
            </w:pPr>
            <w:r w:rsidRPr="00EB5A40">
              <w:rPr>
                <w:color w:val="000000"/>
                <w:sz w:val="20"/>
                <w:szCs w:val="20"/>
              </w:rPr>
              <w:t>46</w:t>
            </w:r>
          </w:p>
        </w:tc>
        <w:tc>
          <w:tcPr>
            <w:tcW w:w="1125" w:type="dxa"/>
            <w:tcBorders>
              <w:top w:val="nil"/>
              <w:left w:val="nil"/>
              <w:bottom w:val="single" w:sz="8" w:space="0" w:color="auto"/>
              <w:right w:val="single" w:sz="8" w:space="0" w:color="auto"/>
            </w:tcBorders>
            <w:shd w:val="clear" w:color="auto" w:fill="auto"/>
            <w:noWrap/>
            <w:vAlign w:val="center"/>
            <w:hideMark/>
          </w:tcPr>
          <w:p w14:paraId="3E3D75AF" w14:textId="77777777" w:rsidR="00E04D69" w:rsidRPr="00EB5A40" w:rsidRDefault="00E04D69">
            <w:pPr>
              <w:jc w:val="center"/>
              <w:rPr>
                <w:color w:val="000000"/>
                <w:sz w:val="20"/>
                <w:szCs w:val="20"/>
              </w:rPr>
            </w:pPr>
            <w:r w:rsidRPr="00EB5A40">
              <w:rPr>
                <w:color w:val="000000"/>
                <w:sz w:val="20"/>
                <w:szCs w:val="20"/>
              </w:rPr>
              <w:t>-30.4%</w:t>
            </w:r>
          </w:p>
        </w:tc>
        <w:tc>
          <w:tcPr>
            <w:tcW w:w="1125" w:type="dxa"/>
            <w:tcBorders>
              <w:top w:val="nil"/>
              <w:left w:val="nil"/>
              <w:bottom w:val="single" w:sz="8" w:space="0" w:color="auto"/>
              <w:right w:val="single" w:sz="8" w:space="0" w:color="auto"/>
            </w:tcBorders>
            <w:shd w:val="clear" w:color="auto" w:fill="auto"/>
            <w:noWrap/>
            <w:vAlign w:val="center"/>
            <w:hideMark/>
          </w:tcPr>
          <w:p w14:paraId="56D892FD" w14:textId="77777777" w:rsidR="00E04D69" w:rsidRPr="00EB5A40" w:rsidRDefault="00E04D69" w:rsidP="00EB5A40">
            <w:pPr>
              <w:jc w:val="center"/>
              <w:rPr>
                <w:rFonts w:cs="Arial"/>
                <w:color w:val="222222"/>
                <w:sz w:val="20"/>
                <w:szCs w:val="20"/>
              </w:rPr>
            </w:pPr>
            <w:r w:rsidRPr="00EB5A40">
              <w:rPr>
                <w:rFonts w:cs="Arial"/>
                <w:color w:val="222222"/>
                <w:sz w:val="20"/>
                <w:szCs w:val="20"/>
              </w:rPr>
              <w:t>32</w:t>
            </w:r>
          </w:p>
        </w:tc>
      </w:tr>
      <w:tr w:rsidR="008845C2" w:rsidRPr="0065370E" w14:paraId="7AD941CD" w14:textId="77777777" w:rsidTr="00EB5A40">
        <w:trPr>
          <w:trHeight w:val="288"/>
        </w:trPr>
        <w:tc>
          <w:tcPr>
            <w:tcW w:w="1125" w:type="dxa"/>
            <w:tcBorders>
              <w:top w:val="nil"/>
              <w:left w:val="single" w:sz="8" w:space="0" w:color="auto"/>
              <w:bottom w:val="single" w:sz="8" w:space="0" w:color="auto"/>
              <w:right w:val="single" w:sz="8" w:space="0" w:color="auto"/>
            </w:tcBorders>
            <w:shd w:val="clear" w:color="000000" w:fill="CCFFCC"/>
            <w:noWrap/>
            <w:vAlign w:val="center"/>
            <w:hideMark/>
          </w:tcPr>
          <w:p w14:paraId="0B074665" w14:textId="77777777" w:rsidR="00E04D69" w:rsidRPr="00EB5A40" w:rsidRDefault="00E04D69">
            <w:pPr>
              <w:jc w:val="center"/>
              <w:rPr>
                <w:color w:val="000000"/>
                <w:sz w:val="20"/>
                <w:szCs w:val="20"/>
              </w:rPr>
            </w:pPr>
            <w:r w:rsidRPr="00EB5A40">
              <w:rPr>
                <w:color w:val="000000"/>
                <w:sz w:val="20"/>
                <w:szCs w:val="20"/>
              </w:rPr>
              <w:t>5 to 9</w:t>
            </w:r>
          </w:p>
        </w:tc>
        <w:tc>
          <w:tcPr>
            <w:tcW w:w="1125" w:type="dxa"/>
            <w:tcBorders>
              <w:top w:val="nil"/>
              <w:left w:val="nil"/>
              <w:bottom w:val="single" w:sz="8" w:space="0" w:color="auto"/>
              <w:right w:val="single" w:sz="8" w:space="0" w:color="auto"/>
            </w:tcBorders>
            <w:shd w:val="clear" w:color="auto" w:fill="auto"/>
            <w:noWrap/>
            <w:vAlign w:val="center"/>
            <w:hideMark/>
          </w:tcPr>
          <w:p w14:paraId="31244717" w14:textId="77777777" w:rsidR="00E04D69" w:rsidRPr="00EB5A40" w:rsidRDefault="00E04D69">
            <w:pPr>
              <w:jc w:val="center"/>
              <w:rPr>
                <w:color w:val="000000"/>
                <w:sz w:val="20"/>
                <w:szCs w:val="20"/>
              </w:rPr>
            </w:pPr>
            <w:r w:rsidRPr="00EB5A40">
              <w:rPr>
                <w:color w:val="000000"/>
                <w:sz w:val="20"/>
                <w:szCs w:val="20"/>
              </w:rPr>
              <w:t>52</w:t>
            </w:r>
          </w:p>
        </w:tc>
        <w:tc>
          <w:tcPr>
            <w:tcW w:w="1125" w:type="dxa"/>
            <w:tcBorders>
              <w:top w:val="nil"/>
              <w:left w:val="nil"/>
              <w:bottom w:val="single" w:sz="8" w:space="0" w:color="auto"/>
              <w:right w:val="single" w:sz="8" w:space="0" w:color="auto"/>
            </w:tcBorders>
            <w:shd w:val="clear" w:color="auto" w:fill="auto"/>
            <w:noWrap/>
            <w:vAlign w:val="center"/>
            <w:hideMark/>
          </w:tcPr>
          <w:p w14:paraId="57C81240" w14:textId="77777777" w:rsidR="00E04D69" w:rsidRPr="00EB5A40" w:rsidRDefault="00E04D69">
            <w:pPr>
              <w:jc w:val="center"/>
              <w:rPr>
                <w:color w:val="000000"/>
                <w:sz w:val="20"/>
                <w:szCs w:val="20"/>
              </w:rPr>
            </w:pPr>
            <w:r w:rsidRPr="00EB5A40">
              <w:rPr>
                <w:color w:val="000000"/>
                <w:sz w:val="20"/>
                <w:szCs w:val="20"/>
              </w:rPr>
              <w:t>-5.8%</w:t>
            </w:r>
          </w:p>
        </w:tc>
        <w:tc>
          <w:tcPr>
            <w:tcW w:w="1125" w:type="dxa"/>
            <w:tcBorders>
              <w:top w:val="nil"/>
              <w:left w:val="nil"/>
              <w:bottom w:val="single" w:sz="8" w:space="0" w:color="auto"/>
              <w:right w:val="single" w:sz="8" w:space="0" w:color="auto"/>
            </w:tcBorders>
            <w:shd w:val="clear" w:color="auto" w:fill="auto"/>
            <w:noWrap/>
            <w:vAlign w:val="center"/>
            <w:hideMark/>
          </w:tcPr>
          <w:p w14:paraId="3170F35F" w14:textId="77777777" w:rsidR="00E04D69" w:rsidRPr="00EB5A40" w:rsidRDefault="00E04D69">
            <w:pPr>
              <w:jc w:val="center"/>
              <w:rPr>
                <w:color w:val="000000"/>
                <w:sz w:val="20"/>
                <w:szCs w:val="20"/>
              </w:rPr>
            </w:pPr>
            <w:r w:rsidRPr="00EB5A40">
              <w:rPr>
                <w:color w:val="000000"/>
                <w:sz w:val="20"/>
                <w:szCs w:val="20"/>
              </w:rPr>
              <w:t>49</w:t>
            </w:r>
          </w:p>
        </w:tc>
        <w:tc>
          <w:tcPr>
            <w:tcW w:w="1125" w:type="dxa"/>
            <w:tcBorders>
              <w:top w:val="nil"/>
              <w:left w:val="nil"/>
              <w:bottom w:val="single" w:sz="8" w:space="0" w:color="auto"/>
              <w:right w:val="single" w:sz="8" w:space="0" w:color="auto"/>
            </w:tcBorders>
            <w:shd w:val="clear" w:color="auto" w:fill="auto"/>
            <w:noWrap/>
            <w:vAlign w:val="center"/>
            <w:hideMark/>
          </w:tcPr>
          <w:p w14:paraId="55356059" w14:textId="77777777" w:rsidR="00E04D69" w:rsidRPr="00EB5A40" w:rsidRDefault="00E04D69">
            <w:pPr>
              <w:jc w:val="center"/>
              <w:rPr>
                <w:color w:val="000000"/>
                <w:sz w:val="20"/>
                <w:szCs w:val="20"/>
              </w:rPr>
            </w:pPr>
            <w:r w:rsidRPr="00EB5A40">
              <w:rPr>
                <w:color w:val="000000"/>
                <w:sz w:val="20"/>
                <w:szCs w:val="20"/>
              </w:rPr>
              <w:t>12.2%</w:t>
            </w:r>
          </w:p>
        </w:tc>
        <w:tc>
          <w:tcPr>
            <w:tcW w:w="1125" w:type="dxa"/>
            <w:tcBorders>
              <w:top w:val="nil"/>
              <w:left w:val="nil"/>
              <w:bottom w:val="single" w:sz="8" w:space="0" w:color="auto"/>
              <w:right w:val="single" w:sz="8" w:space="0" w:color="auto"/>
            </w:tcBorders>
            <w:shd w:val="clear" w:color="auto" w:fill="auto"/>
            <w:noWrap/>
            <w:vAlign w:val="center"/>
            <w:hideMark/>
          </w:tcPr>
          <w:p w14:paraId="7BBE1231" w14:textId="77777777" w:rsidR="00E04D69" w:rsidRPr="00EB5A40" w:rsidRDefault="00E04D69">
            <w:pPr>
              <w:jc w:val="center"/>
              <w:rPr>
                <w:color w:val="000000"/>
                <w:sz w:val="20"/>
                <w:szCs w:val="20"/>
              </w:rPr>
            </w:pPr>
            <w:r w:rsidRPr="00EB5A40">
              <w:rPr>
                <w:color w:val="000000"/>
                <w:sz w:val="20"/>
                <w:szCs w:val="20"/>
              </w:rPr>
              <w:t>55</w:t>
            </w:r>
          </w:p>
        </w:tc>
        <w:tc>
          <w:tcPr>
            <w:tcW w:w="1125" w:type="dxa"/>
            <w:tcBorders>
              <w:top w:val="nil"/>
              <w:left w:val="nil"/>
              <w:bottom w:val="single" w:sz="8" w:space="0" w:color="auto"/>
              <w:right w:val="single" w:sz="8" w:space="0" w:color="auto"/>
            </w:tcBorders>
            <w:shd w:val="clear" w:color="auto" w:fill="auto"/>
            <w:noWrap/>
            <w:vAlign w:val="center"/>
            <w:hideMark/>
          </w:tcPr>
          <w:p w14:paraId="45CCD62A" w14:textId="77777777" w:rsidR="00E04D69" w:rsidRPr="00EB5A40" w:rsidRDefault="00E04D69">
            <w:pPr>
              <w:jc w:val="center"/>
              <w:rPr>
                <w:color w:val="000000"/>
                <w:sz w:val="20"/>
                <w:szCs w:val="20"/>
              </w:rPr>
            </w:pPr>
            <w:r w:rsidRPr="00EB5A40">
              <w:rPr>
                <w:color w:val="000000"/>
                <w:sz w:val="20"/>
                <w:szCs w:val="20"/>
              </w:rPr>
              <w:t>-23.6%</w:t>
            </w:r>
          </w:p>
        </w:tc>
        <w:tc>
          <w:tcPr>
            <w:tcW w:w="1125" w:type="dxa"/>
            <w:tcBorders>
              <w:top w:val="nil"/>
              <w:left w:val="nil"/>
              <w:bottom w:val="single" w:sz="8" w:space="0" w:color="auto"/>
              <w:right w:val="single" w:sz="8" w:space="0" w:color="auto"/>
            </w:tcBorders>
            <w:shd w:val="clear" w:color="auto" w:fill="auto"/>
            <w:noWrap/>
            <w:vAlign w:val="center"/>
            <w:hideMark/>
          </w:tcPr>
          <w:p w14:paraId="5E40E68B" w14:textId="77777777" w:rsidR="00E04D69" w:rsidRPr="00EB5A40" w:rsidRDefault="00E04D69" w:rsidP="00EB5A40">
            <w:pPr>
              <w:jc w:val="center"/>
              <w:rPr>
                <w:rFonts w:cs="Arial"/>
                <w:color w:val="222222"/>
                <w:sz w:val="20"/>
                <w:szCs w:val="20"/>
              </w:rPr>
            </w:pPr>
            <w:r w:rsidRPr="00EB5A40">
              <w:rPr>
                <w:rFonts w:cs="Arial"/>
                <w:color w:val="222222"/>
                <w:sz w:val="20"/>
                <w:szCs w:val="20"/>
              </w:rPr>
              <w:t>42</w:t>
            </w:r>
          </w:p>
        </w:tc>
      </w:tr>
      <w:tr w:rsidR="008845C2" w:rsidRPr="0065370E" w14:paraId="2753E6A8" w14:textId="77777777" w:rsidTr="00EB5A40">
        <w:trPr>
          <w:trHeight w:val="288"/>
        </w:trPr>
        <w:tc>
          <w:tcPr>
            <w:tcW w:w="1125" w:type="dxa"/>
            <w:tcBorders>
              <w:top w:val="nil"/>
              <w:left w:val="single" w:sz="8" w:space="0" w:color="auto"/>
              <w:bottom w:val="single" w:sz="8" w:space="0" w:color="auto"/>
              <w:right w:val="single" w:sz="8" w:space="0" w:color="auto"/>
            </w:tcBorders>
            <w:shd w:val="clear" w:color="000000" w:fill="CCFFCC"/>
            <w:noWrap/>
            <w:vAlign w:val="center"/>
            <w:hideMark/>
          </w:tcPr>
          <w:p w14:paraId="7BBE5778" w14:textId="77777777" w:rsidR="00E04D69" w:rsidRPr="00EB5A40" w:rsidRDefault="00E04D69">
            <w:pPr>
              <w:jc w:val="center"/>
              <w:rPr>
                <w:color w:val="000000"/>
                <w:sz w:val="20"/>
                <w:szCs w:val="20"/>
              </w:rPr>
            </w:pPr>
            <w:r w:rsidRPr="00EB5A40">
              <w:rPr>
                <w:color w:val="000000"/>
                <w:sz w:val="20"/>
                <w:szCs w:val="20"/>
              </w:rPr>
              <w:t>10 to 14</w:t>
            </w:r>
          </w:p>
        </w:tc>
        <w:tc>
          <w:tcPr>
            <w:tcW w:w="1125" w:type="dxa"/>
            <w:tcBorders>
              <w:top w:val="nil"/>
              <w:left w:val="nil"/>
              <w:bottom w:val="single" w:sz="8" w:space="0" w:color="auto"/>
              <w:right w:val="single" w:sz="8" w:space="0" w:color="auto"/>
            </w:tcBorders>
            <w:shd w:val="clear" w:color="auto" w:fill="auto"/>
            <w:noWrap/>
            <w:vAlign w:val="center"/>
            <w:hideMark/>
          </w:tcPr>
          <w:p w14:paraId="502E9C7D" w14:textId="77777777" w:rsidR="00E04D69" w:rsidRPr="00EB5A40" w:rsidRDefault="00E04D69">
            <w:pPr>
              <w:jc w:val="center"/>
              <w:rPr>
                <w:color w:val="000000"/>
                <w:sz w:val="20"/>
                <w:szCs w:val="20"/>
              </w:rPr>
            </w:pPr>
            <w:r w:rsidRPr="00EB5A40">
              <w:rPr>
                <w:color w:val="000000"/>
                <w:sz w:val="20"/>
                <w:szCs w:val="20"/>
              </w:rPr>
              <w:t>46</w:t>
            </w:r>
          </w:p>
        </w:tc>
        <w:tc>
          <w:tcPr>
            <w:tcW w:w="1125" w:type="dxa"/>
            <w:tcBorders>
              <w:top w:val="nil"/>
              <w:left w:val="nil"/>
              <w:bottom w:val="single" w:sz="8" w:space="0" w:color="auto"/>
              <w:right w:val="single" w:sz="8" w:space="0" w:color="auto"/>
            </w:tcBorders>
            <w:shd w:val="clear" w:color="auto" w:fill="auto"/>
            <w:noWrap/>
            <w:vAlign w:val="center"/>
            <w:hideMark/>
          </w:tcPr>
          <w:p w14:paraId="27365807" w14:textId="77777777" w:rsidR="00E04D69" w:rsidRPr="00EB5A40" w:rsidRDefault="00E04D69">
            <w:pPr>
              <w:jc w:val="center"/>
              <w:rPr>
                <w:color w:val="000000"/>
                <w:sz w:val="20"/>
                <w:szCs w:val="20"/>
              </w:rPr>
            </w:pPr>
            <w:r w:rsidRPr="00EB5A40">
              <w:rPr>
                <w:color w:val="000000"/>
                <w:sz w:val="20"/>
                <w:szCs w:val="20"/>
              </w:rPr>
              <w:t>32.6%</w:t>
            </w:r>
          </w:p>
        </w:tc>
        <w:tc>
          <w:tcPr>
            <w:tcW w:w="1125" w:type="dxa"/>
            <w:tcBorders>
              <w:top w:val="nil"/>
              <w:left w:val="nil"/>
              <w:bottom w:val="single" w:sz="8" w:space="0" w:color="auto"/>
              <w:right w:val="single" w:sz="8" w:space="0" w:color="auto"/>
            </w:tcBorders>
            <w:shd w:val="clear" w:color="auto" w:fill="auto"/>
            <w:noWrap/>
            <w:vAlign w:val="center"/>
            <w:hideMark/>
          </w:tcPr>
          <w:p w14:paraId="6ADBDE9B" w14:textId="77777777" w:rsidR="00E04D69" w:rsidRPr="00EB5A40" w:rsidRDefault="00E04D69">
            <w:pPr>
              <w:jc w:val="center"/>
              <w:rPr>
                <w:color w:val="000000"/>
                <w:sz w:val="20"/>
                <w:szCs w:val="20"/>
              </w:rPr>
            </w:pPr>
            <w:r w:rsidRPr="00EB5A40">
              <w:rPr>
                <w:color w:val="000000"/>
                <w:sz w:val="20"/>
                <w:szCs w:val="20"/>
              </w:rPr>
              <w:t>61</w:t>
            </w:r>
          </w:p>
        </w:tc>
        <w:tc>
          <w:tcPr>
            <w:tcW w:w="1125" w:type="dxa"/>
            <w:tcBorders>
              <w:top w:val="nil"/>
              <w:left w:val="nil"/>
              <w:bottom w:val="single" w:sz="8" w:space="0" w:color="auto"/>
              <w:right w:val="single" w:sz="8" w:space="0" w:color="auto"/>
            </w:tcBorders>
            <w:shd w:val="clear" w:color="auto" w:fill="auto"/>
            <w:noWrap/>
            <w:vAlign w:val="center"/>
            <w:hideMark/>
          </w:tcPr>
          <w:p w14:paraId="0FF7C6E4" w14:textId="77777777" w:rsidR="00E04D69" w:rsidRPr="00EB5A40" w:rsidRDefault="00E04D69">
            <w:pPr>
              <w:jc w:val="center"/>
              <w:rPr>
                <w:color w:val="000000"/>
                <w:sz w:val="20"/>
                <w:szCs w:val="20"/>
              </w:rPr>
            </w:pPr>
            <w:r w:rsidRPr="00EB5A40">
              <w:rPr>
                <w:color w:val="000000"/>
                <w:sz w:val="20"/>
                <w:szCs w:val="20"/>
              </w:rPr>
              <w:t>37.7%</w:t>
            </w:r>
          </w:p>
        </w:tc>
        <w:tc>
          <w:tcPr>
            <w:tcW w:w="1125" w:type="dxa"/>
            <w:tcBorders>
              <w:top w:val="nil"/>
              <w:left w:val="nil"/>
              <w:bottom w:val="single" w:sz="8" w:space="0" w:color="auto"/>
              <w:right w:val="single" w:sz="8" w:space="0" w:color="auto"/>
            </w:tcBorders>
            <w:shd w:val="clear" w:color="auto" w:fill="auto"/>
            <w:noWrap/>
            <w:vAlign w:val="center"/>
            <w:hideMark/>
          </w:tcPr>
          <w:p w14:paraId="2F95BF91" w14:textId="77777777" w:rsidR="00E04D69" w:rsidRPr="00EB5A40" w:rsidRDefault="00E04D69">
            <w:pPr>
              <w:jc w:val="center"/>
              <w:rPr>
                <w:color w:val="000000"/>
                <w:sz w:val="20"/>
                <w:szCs w:val="20"/>
              </w:rPr>
            </w:pPr>
            <w:r w:rsidRPr="00EB5A40">
              <w:rPr>
                <w:color w:val="000000"/>
                <w:sz w:val="20"/>
                <w:szCs w:val="20"/>
              </w:rPr>
              <w:t>84</w:t>
            </w:r>
          </w:p>
        </w:tc>
        <w:tc>
          <w:tcPr>
            <w:tcW w:w="1125" w:type="dxa"/>
            <w:tcBorders>
              <w:top w:val="nil"/>
              <w:left w:val="nil"/>
              <w:bottom w:val="single" w:sz="8" w:space="0" w:color="auto"/>
              <w:right w:val="single" w:sz="8" w:space="0" w:color="auto"/>
            </w:tcBorders>
            <w:shd w:val="clear" w:color="auto" w:fill="auto"/>
            <w:noWrap/>
            <w:vAlign w:val="center"/>
            <w:hideMark/>
          </w:tcPr>
          <w:p w14:paraId="1EE2F3FF" w14:textId="77777777" w:rsidR="00E04D69" w:rsidRPr="00EB5A40" w:rsidRDefault="00E04D69">
            <w:pPr>
              <w:jc w:val="center"/>
              <w:rPr>
                <w:color w:val="000000"/>
                <w:sz w:val="20"/>
                <w:szCs w:val="20"/>
              </w:rPr>
            </w:pPr>
            <w:r w:rsidRPr="00EB5A40">
              <w:rPr>
                <w:color w:val="000000"/>
                <w:sz w:val="20"/>
                <w:szCs w:val="20"/>
              </w:rPr>
              <w:t>-51.2%</w:t>
            </w:r>
          </w:p>
        </w:tc>
        <w:tc>
          <w:tcPr>
            <w:tcW w:w="1125" w:type="dxa"/>
            <w:tcBorders>
              <w:top w:val="nil"/>
              <w:left w:val="nil"/>
              <w:bottom w:val="single" w:sz="8" w:space="0" w:color="auto"/>
              <w:right w:val="single" w:sz="8" w:space="0" w:color="auto"/>
            </w:tcBorders>
            <w:shd w:val="clear" w:color="auto" w:fill="auto"/>
            <w:noWrap/>
            <w:vAlign w:val="center"/>
            <w:hideMark/>
          </w:tcPr>
          <w:p w14:paraId="03B73AB5" w14:textId="77777777" w:rsidR="00E04D69" w:rsidRPr="00EB5A40" w:rsidRDefault="00E04D69" w:rsidP="00EB5A40">
            <w:pPr>
              <w:jc w:val="center"/>
              <w:rPr>
                <w:rFonts w:cs="Arial"/>
                <w:color w:val="222222"/>
                <w:sz w:val="20"/>
                <w:szCs w:val="20"/>
              </w:rPr>
            </w:pPr>
            <w:r w:rsidRPr="00EB5A40">
              <w:rPr>
                <w:rFonts w:cs="Arial"/>
                <w:color w:val="222222"/>
                <w:sz w:val="20"/>
                <w:szCs w:val="20"/>
              </w:rPr>
              <w:t>41</w:t>
            </w:r>
          </w:p>
        </w:tc>
      </w:tr>
      <w:tr w:rsidR="008845C2" w:rsidRPr="0065370E" w14:paraId="444C5763" w14:textId="77777777" w:rsidTr="00EB5A40">
        <w:trPr>
          <w:trHeight w:val="288"/>
        </w:trPr>
        <w:tc>
          <w:tcPr>
            <w:tcW w:w="1125" w:type="dxa"/>
            <w:tcBorders>
              <w:top w:val="nil"/>
              <w:left w:val="single" w:sz="8" w:space="0" w:color="auto"/>
              <w:bottom w:val="single" w:sz="8" w:space="0" w:color="auto"/>
              <w:right w:val="single" w:sz="8" w:space="0" w:color="auto"/>
            </w:tcBorders>
            <w:shd w:val="clear" w:color="000000" w:fill="CCFFCC"/>
            <w:noWrap/>
            <w:vAlign w:val="center"/>
            <w:hideMark/>
          </w:tcPr>
          <w:p w14:paraId="58C477A6" w14:textId="77777777" w:rsidR="00E04D69" w:rsidRPr="00EB5A40" w:rsidRDefault="00E04D69">
            <w:pPr>
              <w:jc w:val="center"/>
              <w:rPr>
                <w:color w:val="000000"/>
                <w:sz w:val="20"/>
                <w:szCs w:val="20"/>
              </w:rPr>
            </w:pPr>
            <w:r w:rsidRPr="00EB5A40">
              <w:rPr>
                <w:color w:val="000000"/>
                <w:sz w:val="20"/>
                <w:szCs w:val="20"/>
              </w:rPr>
              <w:t>15 to 19</w:t>
            </w:r>
          </w:p>
        </w:tc>
        <w:tc>
          <w:tcPr>
            <w:tcW w:w="1125" w:type="dxa"/>
            <w:tcBorders>
              <w:top w:val="nil"/>
              <w:left w:val="nil"/>
              <w:bottom w:val="single" w:sz="8" w:space="0" w:color="auto"/>
              <w:right w:val="single" w:sz="8" w:space="0" w:color="auto"/>
            </w:tcBorders>
            <w:shd w:val="clear" w:color="auto" w:fill="auto"/>
            <w:noWrap/>
            <w:vAlign w:val="center"/>
            <w:hideMark/>
          </w:tcPr>
          <w:p w14:paraId="042EF320" w14:textId="77777777" w:rsidR="00E04D69" w:rsidRPr="00EB5A40" w:rsidRDefault="00E04D69">
            <w:pPr>
              <w:jc w:val="center"/>
              <w:rPr>
                <w:color w:val="000000"/>
                <w:sz w:val="20"/>
                <w:szCs w:val="20"/>
              </w:rPr>
            </w:pPr>
            <w:r w:rsidRPr="00EB5A40">
              <w:rPr>
                <w:color w:val="000000"/>
                <w:sz w:val="20"/>
                <w:szCs w:val="20"/>
              </w:rPr>
              <w:t>24</w:t>
            </w:r>
          </w:p>
        </w:tc>
        <w:tc>
          <w:tcPr>
            <w:tcW w:w="1125" w:type="dxa"/>
            <w:tcBorders>
              <w:top w:val="nil"/>
              <w:left w:val="nil"/>
              <w:bottom w:val="single" w:sz="8" w:space="0" w:color="auto"/>
              <w:right w:val="single" w:sz="8" w:space="0" w:color="auto"/>
            </w:tcBorders>
            <w:shd w:val="clear" w:color="auto" w:fill="auto"/>
            <w:noWrap/>
            <w:vAlign w:val="center"/>
            <w:hideMark/>
          </w:tcPr>
          <w:p w14:paraId="1831C19C" w14:textId="77777777" w:rsidR="00E04D69" w:rsidRPr="00EB5A40" w:rsidRDefault="00E04D69">
            <w:pPr>
              <w:jc w:val="center"/>
              <w:rPr>
                <w:color w:val="000000"/>
                <w:sz w:val="20"/>
                <w:szCs w:val="20"/>
              </w:rPr>
            </w:pPr>
            <w:r w:rsidRPr="00EB5A40">
              <w:rPr>
                <w:color w:val="000000"/>
                <w:sz w:val="20"/>
                <w:szCs w:val="20"/>
              </w:rPr>
              <w:t>91.7%</w:t>
            </w:r>
          </w:p>
        </w:tc>
        <w:tc>
          <w:tcPr>
            <w:tcW w:w="1125" w:type="dxa"/>
            <w:tcBorders>
              <w:top w:val="nil"/>
              <w:left w:val="nil"/>
              <w:bottom w:val="single" w:sz="8" w:space="0" w:color="auto"/>
              <w:right w:val="single" w:sz="8" w:space="0" w:color="auto"/>
            </w:tcBorders>
            <w:shd w:val="clear" w:color="auto" w:fill="auto"/>
            <w:noWrap/>
            <w:vAlign w:val="center"/>
            <w:hideMark/>
          </w:tcPr>
          <w:p w14:paraId="47DD2CE0" w14:textId="77777777" w:rsidR="00E04D69" w:rsidRPr="00EB5A40" w:rsidRDefault="00E04D69">
            <w:pPr>
              <w:jc w:val="center"/>
              <w:rPr>
                <w:color w:val="000000"/>
                <w:sz w:val="20"/>
                <w:szCs w:val="20"/>
              </w:rPr>
            </w:pPr>
            <w:r w:rsidRPr="00EB5A40">
              <w:rPr>
                <w:color w:val="000000"/>
                <w:sz w:val="20"/>
                <w:szCs w:val="20"/>
              </w:rPr>
              <w:t>46</w:t>
            </w:r>
          </w:p>
        </w:tc>
        <w:tc>
          <w:tcPr>
            <w:tcW w:w="1125" w:type="dxa"/>
            <w:tcBorders>
              <w:top w:val="nil"/>
              <w:left w:val="nil"/>
              <w:bottom w:val="single" w:sz="8" w:space="0" w:color="auto"/>
              <w:right w:val="single" w:sz="8" w:space="0" w:color="auto"/>
            </w:tcBorders>
            <w:shd w:val="clear" w:color="auto" w:fill="auto"/>
            <w:noWrap/>
            <w:vAlign w:val="center"/>
            <w:hideMark/>
          </w:tcPr>
          <w:p w14:paraId="0B0F77DA" w14:textId="77777777" w:rsidR="00E04D69" w:rsidRPr="00EB5A40" w:rsidRDefault="00E04D69">
            <w:pPr>
              <w:jc w:val="center"/>
              <w:rPr>
                <w:color w:val="000000"/>
                <w:sz w:val="20"/>
                <w:szCs w:val="20"/>
              </w:rPr>
            </w:pPr>
            <w:r w:rsidRPr="00EB5A40">
              <w:rPr>
                <w:color w:val="000000"/>
                <w:sz w:val="20"/>
                <w:szCs w:val="20"/>
              </w:rPr>
              <w:t>32.6%</w:t>
            </w:r>
          </w:p>
        </w:tc>
        <w:tc>
          <w:tcPr>
            <w:tcW w:w="1125" w:type="dxa"/>
            <w:tcBorders>
              <w:top w:val="nil"/>
              <w:left w:val="nil"/>
              <w:bottom w:val="single" w:sz="8" w:space="0" w:color="auto"/>
              <w:right w:val="single" w:sz="8" w:space="0" w:color="auto"/>
            </w:tcBorders>
            <w:shd w:val="clear" w:color="auto" w:fill="auto"/>
            <w:noWrap/>
            <w:vAlign w:val="center"/>
            <w:hideMark/>
          </w:tcPr>
          <w:p w14:paraId="6B759DF1" w14:textId="77777777" w:rsidR="00E04D69" w:rsidRPr="00EB5A40" w:rsidRDefault="00E04D69">
            <w:pPr>
              <w:jc w:val="center"/>
              <w:rPr>
                <w:color w:val="000000"/>
                <w:sz w:val="20"/>
                <w:szCs w:val="20"/>
              </w:rPr>
            </w:pPr>
            <w:r w:rsidRPr="00EB5A40">
              <w:rPr>
                <w:color w:val="000000"/>
                <w:sz w:val="20"/>
                <w:szCs w:val="20"/>
              </w:rPr>
              <w:t>61</w:t>
            </w:r>
          </w:p>
        </w:tc>
        <w:tc>
          <w:tcPr>
            <w:tcW w:w="1125" w:type="dxa"/>
            <w:tcBorders>
              <w:top w:val="nil"/>
              <w:left w:val="nil"/>
              <w:bottom w:val="single" w:sz="8" w:space="0" w:color="auto"/>
              <w:right w:val="single" w:sz="8" w:space="0" w:color="auto"/>
            </w:tcBorders>
            <w:shd w:val="clear" w:color="auto" w:fill="auto"/>
            <w:noWrap/>
            <w:vAlign w:val="center"/>
            <w:hideMark/>
          </w:tcPr>
          <w:p w14:paraId="1A3905CA" w14:textId="77777777" w:rsidR="00E04D69" w:rsidRPr="00EB5A40" w:rsidRDefault="00E04D69">
            <w:pPr>
              <w:jc w:val="center"/>
              <w:rPr>
                <w:color w:val="000000"/>
                <w:sz w:val="20"/>
                <w:szCs w:val="20"/>
              </w:rPr>
            </w:pPr>
            <w:r w:rsidRPr="00EB5A40">
              <w:rPr>
                <w:color w:val="000000"/>
                <w:sz w:val="20"/>
                <w:szCs w:val="20"/>
              </w:rPr>
              <w:t>8.2%</w:t>
            </w:r>
          </w:p>
        </w:tc>
        <w:tc>
          <w:tcPr>
            <w:tcW w:w="1125" w:type="dxa"/>
            <w:tcBorders>
              <w:top w:val="nil"/>
              <w:left w:val="nil"/>
              <w:bottom w:val="single" w:sz="8" w:space="0" w:color="auto"/>
              <w:right w:val="single" w:sz="8" w:space="0" w:color="auto"/>
            </w:tcBorders>
            <w:shd w:val="clear" w:color="auto" w:fill="auto"/>
            <w:noWrap/>
            <w:vAlign w:val="center"/>
            <w:hideMark/>
          </w:tcPr>
          <w:p w14:paraId="189FC4C4" w14:textId="77777777" w:rsidR="00E04D69" w:rsidRPr="00EB5A40" w:rsidRDefault="00E04D69" w:rsidP="00EB5A40">
            <w:pPr>
              <w:jc w:val="center"/>
              <w:rPr>
                <w:rFonts w:cs="Arial"/>
                <w:color w:val="222222"/>
                <w:sz w:val="20"/>
                <w:szCs w:val="20"/>
              </w:rPr>
            </w:pPr>
            <w:r w:rsidRPr="00EB5A40">
              <w:rPr>
                <w:rFonts w:cs="Arial"/>
                <w:color w:val="222222"/>
                <w:sz w:val="20"/>
                <w:szCs w:val="20"/>
              </w:rPr>
              <w:t>66</w:t>
            </w:r>
          </w:p>
        </w:tc>
      </w:tr>
      <w:tr w:rsidR="008845C2" w:rsidRPr="0065370E" w14:paraId="202B8890" w14:textId="77777777" w:rsidTr="00EB5A40">
        <w:trPr>
          <w:trHeight w:val="288"/>
        </w:trPr>
        <w:tc>
          <w:tcPr>
            <w:tcW w:w="1125" w:type="dxa"/>
            <w:tcBorders>
              <w:top w:val="nil"/>
              <w:left w:val="single" w:sz="8" w:space="0" w:color="auto"/>
              <w:bottom w:val="single" w:sz="8" w:space="0" w:color="auto"/>
              <w:right w:val="single" w:sz="8" w:space="0" w:color="auto"/>
            </w:tcBorders>
            <w:shd w:val="clear" w:color="000000" w:fill="CCFFCC"/>
            <w:noWrap/>
            <w:vAlign w:val="center"/>
            <w:hideMark/>
          </w:tcPr>
          <w:p w14:paraId="3FC1560B" w14:textId="77777777" w:rsidR="00E04D69" w:rsidRPr="00EB5A40" w:rsidRDefault="00E04D69">
            <w:pPr>
              <w:jc w:val="center"/>
              <w:rPr>
                <w:color w:val="000000"/>
                <w:sz w:val="20"/>
                <w:szCs w:val="20"/>
              </w:rPr>
            </w:pPr>
            <w:r w:rsidRPr="00EB5A40">
              <w:rPr>
                <w:color w:val="000000"/>
                <w:sz w:val="20"/>
                <w:szCs w:val="20"/>
              </w:rPr>
              <w:t>20 to 24</w:t>
            </w:r>
          </w:p>
        </w:tc>
        <w:tc>
          <w:tcPr>
            <w:tcW w:w="1125" w:type="dxa"/>
            <w:tcBorders>
              <w:top w:val="nil"/>
              <w:left w:val="nil"/>
              <w:bottom w:val="single" w:sz="8" w:space="0" w:color="auto"/>
              <w:right w:val="single" w:sz="8" w:space="0" w:color="auto"/>
            </w:tcBorders>
            <w:shd w:val="clear" w:color="auto" w:fill="auto"/>
            <w:noWrap/>
            <w:vAlign w:val="center"/>
            <w:hideMark/>
          </w:tcPr>
          <w:p w14:paraId="770EBF1B" w14:textId="77777777" w:rsidR="00E04D69" w:rsidRPr="00EB5A40" w:rsidRDefault="00E04D69">
            <w:pPr>
              <w:jc w:val="center"/>
              <w:rPr>
                <w:color w:val="000000"/>
                <w:sz w:val="20"/>
                <w:szCs w:val="20"/>
              </w:rPr>
            </w:pPr>
            <w:r w:rsidRPr="00EB5A40">
              <w:rPr>
                <w:color w:val="000000"/>
                <w:sz w:val="20"/>
                <w:szCs w:val="20"/>
              </w:rPr>
              <w:t>43</w:t>
            </w:r>
          </w:p>
        </w:tc>
        <w:tc>
          <w:tcPr>
            <w:tcW w:w="1125" w:type="dxa"/>
            <w:tcBorders>
              <w:top w:val="nil"/>
              <w:left w:val="nil"/>
              <w:bottom w:val="single" w:sz="8" w:space="0" w:color="auto"/>
              <w:right w:val="single" w:sz="8" w:space="0" w:color="auto"/>
            </w:tcBorders>
            <w:shd w:val="clear" w:color="auto" w:fill="auto"/>
            <w:noWrap/>
            <w:vAlign w:val="center"/>
            <w:hideMark/>
          </w:tcPr>
          <w:p w14:paraId="0BC66A38" w14:textId="77777777" w:rsidR="00E04D69" w:rsidRPr="00EB5A40" w:rsidRDefault="00E04D69">
            <w:pPr>
              <w:jc w:val="center"/>
              <w:rPr>
                <w:color w:val="000000"/>
                <w:sz w:val="20"/>
                <w:szCs w:val="20"/>
              </w:rPr>
            </w:pPr>
            <w:r w:rsidRPr="00EB5A40">
              <w:rPr>
                <w:color w:val="000000"/>
                <w:sz w:val="20"/>
                <w:szCs w:val="20"/>
              </w:rPr>
              <w:t>-23.3%</w:t>
            </w:r>
          </w:p>
        </w:tc>
        <w:tc>
          <w:tcPr>
            <w:tcW w:w="1125" w:type="dxa"/>
            <w:tcBorders>
              <w:top w:val="nil"/>
              <w:left w:val="nil"/>
              <w:bottom w:val="single" w:sz="8" w:space="0" w:color="auto"/>
              <w:right w:val="single" w:sz="8" w:space="0" w:color="auto"/>
            </w:tcBorders>
            <w:shd w:val="clear" w:color="auto" w:fill="auto"/>
            <w:noWrap/>
            <w:vAlign w:val="center"/>
            <w:hideMark/>
          </w:tcPr>
          <w:p w14:paraId="55E5A01D" w14:textId="77777777" w:rsidR="00E04D69" w:rsidRPr="00EB5A40" w:rsidRDefault="00E04D69">
            <w:pPr>
              <w:jc w:val="center"/>
              <w:rPr>
                <w:color w:val="000000"/>
                <w:sz w:val="20"/>
                <w:szCs w:val="20"/>
              </w:rPr>
            </w:pPr>
            <w:r w:rsidRPr="00EB5A40">
              <w:rPr>
                <w:color w:val="000000"/>
                <w:sz w:val="20"/>
                <w:szCs w:val="20"/>
              </w:rPr>
              <w:t>33</w:t>
            </w:r>
          </w:p>
        </w:tc>
        <w:tc>
          <w:tcPr>
            <w:tcW w:w="1125" w:type="dxa"/>
            <w:tcBorders>
              <w:top w:val="nil"/>
              <w:left w:val="nil"/>
              <w:bottom w:val="single" w:sz="8" w:space="0" w:color="auto"/>
              <w:right w:val="single" w:sz="8" w:space="0" w:color="auto"/>
            </w:tcBorders>
            <w:shd w:val="clear" w:color="auto" w:fill="auto"/>
            <w:noWrap/>
            <w:vAlign w:val="center"/>
            <w:hideMark/>
          </w:tcPr>
          <w:p w14:paraId="653C5418" w14:textId="77777777" w:rsidR="00E04D69" w:rsidRPr="00EB5A40" w:rsidRDefault="00E04D69">
            <w:pPr>
              <w:jc w:val="center"/>
              <w:rPr>
                <w:color w:val="000000"/>
                <w:sz w:val="20"/>
                <w:szCs w:val="20"/>
              </w:rPr>
            </w:pPr>
            <w:r w:rsidRPr="00EB5A40">
              <w:rPr>
                <w:color w:val="000000"/>
                <w:sz w:val="20"/>
                <w:szCs w:val="20"/>
              </w:rPr>
              <w:t>15.2%</w:t>
            </w:r>
          </w:p>
        </w:tc>
        <w:tc>
          <w:tcPr>
            <w:tcW w:w="1125" w:type="dxa"/>
            <w:tcBorders>
              <w:top w:val="nil"/>
              <w:left w:val="nil"/>
              <w:bottom w:val="single" w:sz="8" w:space="0" w:color="auto"/>
              <w:right w:val="single" w:sz="8" w:space="0" w:color="auto"/>
            </w:tcBorders>
            <w:shd w:val="clear" w:color="auto" w:fill="auto"/>
            <w:noWrap/>
            <w:vAlign w:val="center"/>
            <w:hideMark/>
          </w:tcPr>
          <w:p w14:paraId="56731B92" w14:textId="77777777" w:rsidR="00E04D69" w:rsidRPr="00EB5A40" w:rsidRDefault="00E04D69">
            <w:pPr>
              <w:jc w:val="center"/>
              <w:rPr>
                <w:color w:val="000000"/>
                <w:sz w:val="20"/>
                <w:szCs w:val="20"/>
              </w:rPr>
            </w:pPr>
            <w:r w:rsidRPr="00EB5A40">
              <w:rPr>
                <w:color w:val="000000"/>
                <w:sz w:val="20"/>
                <w:szCs w:val="20"/>
              </w:rPr>
              <w:t>38</w:t>
            </w:r>
          </w:p>
        </w:tc>
        <w:tc>
          <w:tcPr>
            <w:tcW w:w="1125" w:type="dxa"/>
            <w:tcBorders>
              <w:top w:val="nil"/>
              <w:left w:val="nil"/>
              <w:bottom w:val="single" w:sz="8" w:space="0" w:color="auto"/>
              <w:right w:val="single" w:sz="8" w:space="0" w:color="auto"/>
            </w:tcBorders>
            <w:shd w:val="clear" w:color="auto" w:fill="auto"/>
            <w:noWrap/>
            <w:vAlign w:val="center"/>
            <w:hideMark/>
          </w:tcPr>
          <w:p w14:paraId="18F59DBD" w14:textId="77777777" w:rsidR="00E04D69" w:rsidRPr="00EB5A40" w:rsidRDefault="00E04D69">
            <w:pPr>
              <w:jc w:val="center"/>
              <w:rPr>
                <w:color w:val="000000"/>
                <w:sz w:val="20"/>
                <w:szCs w:val="20"/>
              </w:rPr>
            </w:pPr>
            <w:r w:rsidRPr="00EB5A40">
              <w:rPr>
                <w:color w:val="000000"/>
                <w:sz w:val="20"/>
                <w:szCs w:val="20"/>
              </w:rPr>
              <w:t>5.3%</w:t>
            </w:r>
          </w:p>
        </w:tc>
        <w:tc>
          <w:tcPr>
            <w:tcW w:w="1125" w:type="dxa"/>
            <w:tcBorders>
              <w:top w:val="nil"/>
              <w:left w:val="nil"/>
              <w:bottom w:val="single" w:sz="8" w:space="0" w:color="auto"/>
              <w:right w:val="single" w:sz="8" w:space="0" w:color="auto"/>
            </w:tcBorders>
            <w:shd w:val="clear" w:color="auto" w:fill="auto"/>
            <w:noWrap/>
            <w:vAlign w:val="center"/>
            <w:hideMark/>
          </w:tcPr>
          <w:p w14:paraId="21B10C24" w14:textId="77777777" w:rsidR="00E04D69" w:rsidRPr="00EB5A40" w:rsidRDefault="00E04D69" w:rsidP="00EB5A40">
            <w:pPr>
              <w:jc w:val="center"/>
              <w:rPr>
                <w:rFonts w:cs="Arial"/>
                <w:color w:val="222222"/>
                <w:sz w:val="20"/>
                <w:szCs w:val="20"/>
              </w:rPr>
            </w:pPr>
            <w:r w:rsidRPr="00EB5A40">
              <w:rPr>
                <w:rFonts w:cs="Arial"/>
                <w:color w:val="222222"/>
                <w:sz w:val="20"/>
                <w:szCs w:val="20"/>
              </w:rPr>
              <w:t>40</w:t>
            </w:r>
          </w:p>
        </w:tc>
      </w:tr>
      <w:tr w:rsidR="008845C2" w:rsidRPr="0065370E" w14:paraId="7061B441" w14:textId="77777777" w:rsidTr="00EB5A40">
        <w:trPr>
          <w:trHeight w:val="288"/>
        </w:trPr>
        <w:tc>
          <w:tcPr>
            <w:tcW w:w="1125" w:type="dxa"/>
            <w:tcBorders>
              <w:top w:val="nil"/>
              <w:left w:val="single" w:sz="8" w:space="0" w:color="auto"/>
              <w:bottom w:val="single" w:sz="8" w:space="0" w:color="auto"/>
              <w:right w:val="single" w:sz="8" w:space="0" w:color="auto"/>
            </w:tcBorders>
            <w:shd w:val="clear" w:color="000000" w:fill="CCFFCC"/>
            <w:noWrap/>
            <w:vAlign w:val="center"/>
            <w:hideMark/>
          </w:tcPr>
          <w:p w14:paraId="4122BABA" w14:textId="77777777" w:rsidR="00E04D69" w:rsidRPr="00EB5A40" w:rsidRDefault="00E04D69">
            <w:pPr>
              <w:jc w:val="center"/>
              <w:rPr>
                <w:color w:val="000000"/>
                <w:sz w:val="20"/>
                <w:szCs w:val="20"/>
              </w:rPr>
            </w:pPr>
            <w:r w:rsidRPr="00EB5A40">
              <w:rPr>
                <w:color w:val="000000"/>
                <w:sz w:val="20"/>
                <w:szCs w:val="20"/>
              </w:rPr>
              <w:t>25 to 34</w:t>
            </w:r>
          </w:p>
        </w:tc>
        <w:tc>
          <w:tcPr>
            <w:tcW w:w="1125" w:type="dxa"/>
            <w:tcBorders>
              <w:top w:val="nil"/>
              <w:left w:val="nil"/>
              <w:bottom w:val="single" w:sz="8" w:space="0" w:color="auto"/>
              <w:right w:val="single" w:sz="8" w:space="0" w:color="auto"/>
            </w:tcBorders>
            <w:shd w:val="clear" w:color="auto" w:fill="auto"/>
            <w:noWrap/>
            <w:vAlign w:val="center"/>
            <w:hideMark/>
          </w:tcPr>
          <w:p w14:paraId="6C62572C" w14:textId="77777777" w:rsidR="00E04D69" w:rsidRPr="00EB5A40" w:rsidRDefault="00E04D69">
            <w:pPr>
              <w:jc w:val="center"/>
              <w:rPr>
                <w:color w:val="000000"/>
                <w:sz w:val="20"/>
                <w:szCs w:val="20"/>
              </w:rPr>
            </w:pPr>
            <w:r w:rsidRPr="00EB5A40">
              <w:rPr>
                <w:color w:val="000000"/>
                <w:sz w:val="20"/>
                <w:szCs w:val="20"/>
              </w:rPr>
              <w:t>117</w:t>
            </w:r>
          </w:p>
        </w:tc>
        <w:tc>
          <w:tcPr>
            <w:tcW w:w="1125" w:type="dxa"/>
            <w:tcBorders>
              <w:top w:val="nil"/>
              <w:left w:val="nil"/>
              <w:bottom w:val="single" w:sz="8" w:space="0" w:color="auto"/>
              <w:right w:val="single" w:sz="8" w:space="0" w:color="auto"/>
            </w:tcBorders>
            <w:shd w:val="clear" w:color="auto" w:fill="auto"/>
            <w:noWrap/>
            <w:vAlign w:val="center"/>
            <w:hideMark/>
          </w:tcPr>
          <w:p w14:paraId="13B71884" w14:textId="77777777" w:rsidR="00E04D69" w:rsidRPr="00EB5A40" w:rsidRDefault="00E04D69">
            <w:pPr>
              <w:jc w:val="center"/>
              <w:rPr>
                <w:color w:val="000000"/>
                <w:sz w:val="20"/>
                <w:szCs w:val="20"/>
              </w:rPr>
            </w:pPr>
            <w:r w:rsidRPr="00EB5A40">
              <w:rPr>
                <w:color w:val="000000"/>
                <w:sz w:val="20"/>
                <w:szCs w:val="20"/>
              </w:rPr>
              <w:t>-7.7%</w:t>
            </w:r>
          </w:p>
        </w:tc>
        <w:tc>
          <w:tcPr>
            <w:tcW w:w="1125" w:type="dxa"/>
            <w:tcBorders>
              <w:top w:val="nil"/>
              <w:left w:val="nil"/>
              <w:bottom w:val="single" w:sz="8" w:space="0" w:color="auto"/>
              <w:right w:val="single" w:sz="8" w:space="0" w:color="auto"/>
            </w:tcBorders>
            <w:shd w:val="clear" w:color="auto" w:fill="auto"/>
            <w:noWrap/>
            <w:vAlign w:val="center"/>
            <w:hideMark/>
          </w:tcPr>
          <w:p w14:paraId="72343839" w14:textId="77777777" w:rsidR="00E04D69" w:rsidRPr="00EB5A40" w:rsidRDefault="00E04D69">
            <w:pPr>
              <w:jc w:val="center"/>
              <w:rPr>
                <w:color w:val="000000"/>
                <w:sz w:val="20"/>
                <w:szCs w:val="20"/>
              </w:rPr>
            </w:pPr>
            <w:r w:rsidRPr="00EB5A40">
              <w:rPr>
                <w:color w:val="000000"/>
                <w:sz w:val="20"/>
                <w:szCs w:val="20"/>
              </w:rPr>
              <w:t>108</w:t>
            </w:r>
          </w:p>
        </w:tc>
        <w:tc>
          <w:tcPr>
            <w:tcW w:w="1125" w:type="dxa"/>
            <w:tcBorders>
              <w:top w:val="nil"/>
              <w:left w:val="nil"/>
              <w:bottom w:val="single" w:sz="8" w:space="0" w:color="auto"/>
              <w:right w:val="single" w:sz="8" w:space="0" w:color="auto"/>
            </w:tcBorders>
            <w:shd w:val="clear" w:color="auto" w:fill="auto"/>
            <w:noWrap/>
            <w:vAlign w:val="center"/>
            <w:hideMark/>
          </w:tcPr>
          <w:p w14:paraId="585DCC5B" w14:textId="77777777" w:rsidR="00E04D69" w:rsidRPr="00EB5A40" w:rsidRDefault="00E04D69">
            <w:pPr>
              <w:jc w:val="center"/>
              <w:rPr>
                <w:color w:val="000000"/>
                <w:sz w:val="20"/>
                <w:szCs w:val="20"/>
              </w:rPr>
            </w:pPr>
            <w:r w:rsidRPr="00EB5A40">
              <w:rPr>
                <w:color w:val="000000"/>
                <w:sz w:val="20"/>
                <w:szCs w:val="20"/>
              </w:rPr>
              <w:t>-4.6%</w:t>
            </w:r>
          </w:p>
        </w:tc>
        <w:tc>
          <w:tcPr>
            <w:tcW w:w="1125" w:type="dxa"/>
            <w:tcBorders>
              <w:top w:val="nil"/>
              <w:left w:val="nil"/>
              <w:bottom w:val="single" w:sz="8" w:space="0" w:color="auto"/>
              <w:right w:val="single" w:sz="8" w:space="0" w:color="auto"/>
            </w:tcBorders>
            <w:shd w:val="clear" w:color="auto" w:fill="auto"/>
            <w:noWrap/>
            <w:vAlign w:val="center"/>
            <w:hideMark/>
          </w:tcPr>
          <w:p w14:paraId="21759D65" w14:textId="77777777" w:rsidR="00E04D69" w:rsidRPr="00EB5A40" w:rsidRDefault="00E04D69">
            <w:pPr>
              <w:jc w:val="center"/>
              <w:rPr>
                <w:color w:val="000000"/>
                <w:sz w:val="20"/>
                <w:szCs w:val="20"/>
              </w:rPr>
            </w:pPr>
            <w:r w:rsidRPr="00EB5A40">
              <w:rPr>
                <w:color w:val="000000"/>
                <w:sz w:val="20"/>
                <w:szCs w:val="20"/>
              </w:rPr>
              <w:t>103</w:t>
            </w:r>
          </w:p>
        </w:tc>
        <w:tc>
          <w:tcPr>
            <w:tcW w:w="1125" w:type="dxa"/>
            <w:tcBorders>
              <w:top w:val="nil"/>
              <w:left w:val="nil"/>
              <w:bottom w:val="single" w:sz="8" w:space="0" w:color="auto"/>
              <w:right w:val="single" w:sz="8" w:space="0" w:color="auto"/>
            </w:tcBorders>
            <w:shd w:val="clear" w:color="auto" w:fill="auto"/>
            <w:noWrap/>
            <w:vAlign w:val="center"/>
            <w:hideMark/>
          </w:tcPr>
          <w:p w14:paraId="3823F978" w14:textId="77777777" w:rsidR="00E04D69" w:rsidRPr="00EB5A40" w:rsidRDefault="00E04D69">
            <w:pPr>
              <w:jc w:val="center"/>
              <w:rPr>
                <w:color w:val="000000"/>
                <w:sz w:val="20"/>
                <w:szCs w:val="20"/>
              </w:rPr>
            </w:pPr>
            <w:r w:rsidRPr="00EB5A40">
              <w:rPr>
                <w:color w:val="000000"/>
                <w:sz w:val="20"/>
                <w:szCs w:val="20"/>
              </w:rPr>
              <w:t>-35.0%</w:t>
            </w:r>
          </w:p>
        </w:tc>
        <w:tc>
          <w:tcPr>
            <w:tcW w:w="1125" w:type="dxa"/>
            <w:tcBorders>
              <w:top w:val="nil"/>
              <w:left w:val="nil"/>
              <w:bottom w:val="single" w:sz="8" w:space="0" w:color="auto"/>
              <w:right w:val="single" w:sz="8" w:space="0" w:color="auto"/>
            </w:tcBorders>
            <w:shd w:val="clear" w:color="auto" w:fill="auto"/>
            <w:noWrap/>
            <w:vAlign w:val="center"/>
            <w:hideMark/>
          </w:tcPr>
          <w:p w14:paraId="572638E6" w14:textId="77777777" w:rsidR="00E04D69" w:rsidRPr="00EB5A40" w:rsidRDefault="00E04D69" w:rsidP="00EB5A40">
            <w:pPr>
              <w:jc w:val="center"/>
              <w:rPr>
                <w:rFonts w:cs="Arial"/>
                <w:color w:val="222222"/>
                <w:sz w:val="20"/>
                <w:szCs w:val="20"/>
              </w:rPr>
            </w:pPr>
            <w:r w:rsidRPr="00EB5A40">
              <w:rPr>
                <w:rFonts w:cs="Arial"/>
                <w:color w:val="222222"/>
                <w:sz w:val="20"/>
                <w:szCs w:val="20"/>
              </w:rPr>
              <w:t>67</w:t>
            </w:r>
          </w:p>
        </w:tc>
      </w:tr>
      <w:tr w:rsidR="008845C2" w:rsidRPr="0065370E" w14:paraId="388283FD" w14:textId="77777777" w:rsidTr="00EB5A40">
        <w:trPr>
          <w:trHeight w:val="288"/>
        </w:trPr>
        <w:tc>
          <w:tcPr>
            <w:tcW w:w="1125" w:type="dxa"/>
            <w:tcBorders>
              <w:top w:val="nil"/>
              <w:left w:val="single" w:sz="8" w:space="0" w:color="auto"/>
              <w:bottom w:val="single" w:sz="8" w:space="0" w:color="auto"/>
              <w:right w:val="single" w:sz="8" w:space="0" w:color="auto"/>
            </w:tcBorders>
            <w:shd w:val="clear" w:color="000000" w:fill="CCFFCC"/>
            <w:noWrap/>
            <w:vAlign w:val="center"/>
            <w:hideMark/>
          </w:tcPr>
          <w:p w14:paraId="6F4D269C" w14:textId="77777777" w:rsidR="00E04D69" w:rsidRPr="00EB5A40" w:rsidRDefault="00E04D69">
            <w:pPr>
              <w:jc w:val="center"/>
              <w:rPr>
                <w:color w:val="000000"/>
                <w:sz w:val="20"/>
                <w:szCs w:val="20"/>
              </w:rPr>
            </w:pPr>
            <w:r w:rsidRPr="00EB5A40">
              <w:rPr>
                <w:color w:val="000000"/>
                <w:sz w:val="20"/>
                <w:szCs w:val="20"/>
              </w:rPr>
              <w:t>35 to 44</w:t>
            </w:r>
          </w:p>
        </w:tc>
        <w:tc>
          <w:tcPr>
            <w:tcW w:w="1125" w:type="dxa"/>
            <w:tcBorders>
              <w:top w:val="nil"/>
              <w:left w:val="nil"/>
              <w:bottom w:val="single" w:sz="8" w:space="0" w:color="auto"/>
              <w:right w:val="single" w:sz="8" w:space="0" w:color="auto"/>
            </w:tcBorders>
            <w:shd w:val="clear" w:color="auto" w:fill="auto"/>
            <w:noWrap/>
            <w:vAlign w:val="center"/>
            <w:hideMark/>
          </w:tcPr>
          <w:p w14:paraId="7DCF1864" w14:textId="77777777" w:rsidR="00E04D69" w:rsidRPr="00EB5A40" w:rsidRDefault="00E04D69">
            <w:pPr>
              <w:jc w:val="center"/>
              <w:rPr>
                <w:color w:val="000000"/>
                <w:sz w:val="20"/>
                <w:szCs w:val="20"/>
              </w:rPr>
            </w:pPr>
            <w:r w:rsidRPr="00EB5A40">
              <w:rPr>
                <w:color w:val="000000"/>
                <w:sz w:val="20"/>
                <w:szCs w:val="20"/>
              </w:rPr>
              <w:t>94</w:t>
            </w:r>
          </w:p>
        </w:tc>
        <w:tc>
          <w:tcPr>
            <w:tcW w:w="1125" w:type="dxa"/>
            <w:tcBorders>
              <w:top w:val="nil"/>
              <w:left w:val="nil"/>
              <w:bottom w:val="single" w:sz="8" w:space="0" w:color="auto"/>
              <w:right w:val="single" w:sz="8" w:space="0" w:color="auto"/>
            </w:tcBorders>
            <w:shd w:val="clear" w:color="auto" w:fill="auto"/>
            <w:noWrap/>
            <w:vAlign w:val="center"/>
            <w:hideMark/>
          </w:tcPr>
          <w:p w14:paraId="0CE7BFEC" w14:textId="77777777" w:rsidR="00E04D69" w:rsidRPr="00EB5A40" w:rsidRDefault="00E04D69">
            <w:pPr>
              <w:jc w:val="center"/>
              <w:rPr>
                <w:color w:val="000000"/>
                <w:sz w:val="20"/>
                <w:szCs w:val="20"/>
              </w:rPr>
            </w:pPr>
            <w:r w:rsidRPr="00EB5A40">
              <w:rPr>
                <w:color w:val="000000"/>
                <w:sz w:val="20"/>
                <w:szCs w:val="20"/>
              </w:rPr>
              <w:t>68.1%</w:t>
            </w:r>
          </w:p>
        </w:tc>
        <w:tc>
          <w:tcPr>
            <w:tcW w:w="1125" w:type="dxa"/>
            <w:tcBorders>
              <w:top w:val="nil"/>
              <w:left w:val="nil"/>
              <w:bottom w:val="single" w:sz="8" w:space="0" w:color="auto"/>
              <w:right w:val="single" w:sz="8" w:space="0" w:color="auto"/>
            </w:tcBorders>
            <w:shd w:val="clear" w:color="auto" w:fill="auto"/>
            <w:noWrap/>
            <w:vAlign w:val="center"/>
            <w:hideMark/>
          </w:tcPr>
          <w:p w14:paraId="31BA837F" w14:textId="77777777" w:rsidR="00E04D69" w:rsidRPr="00EB5A40" w:rsidRDefault="00E04D69">
            <w:pPr>
              <w:jc w:val="center"/>
              <w:rPr>
                <w:color w:val="000000"/>
                <w:sz w:val="20"/>
                <w:szCs w:val="20"/>
              </w:rPr>
            </w:pPr>
            <w:r w:rsidRPr="00EB5A40">
              <w:rPr>
                <w:color w:val="000000"/>
                <w:sz w:val="20"/>
                <w:szCs w:val="20"/>
              </w:rPr>
              <w:t>158</w:t>
            </w:r>
          </w:p>
        </w:tc>
        <w:tc>
          <w:tcPr>
            <w:tcW w:w="1125" w:type="dxa"/>
            <w:tcBorders>
              <w:top w:val="nil"/>
              <w:left w:val="nil"/>
              <w:bottom w:val="single" w:sz="8" w:space="0" w:color="auto"/>
              <w:right w:val="single" w:sz="8" w:space="0" w:color="auto"/>
            </w:tcBorders>
            <w:shd w:val="clear" w:color="auto" w:fill="auto"/>
            <w:noWrap/>
            <w:vAlign w:val="center"/>
            <w:hideMark/>
          </w:tcPr>
          <w:p w14:paraId="5B5372E8" w14:textId="77777777" w:rsidR="00E04D69" w:rsidRPr="00EB5A40" w:rsidRDefault="00E04D69">
            <w:pPr>
              <w:jc w:val="center"/>
              <w:rPr>
                <w:color w:val="000000"/>
                <w:sz w:val="20"/>
                <w:szCs w:val="20"/>
              </w:rPr>
            </w:pPr>
            <w:r w:rsidRPr="00EB5A40">
              <w:rPr>
                <w:color w:val="000000"/>
                <w:sz w:val="20"/>
                <w:szCs w:val="20"/>
              </w:rPr>
              <w:t>-17.1%</w:t>
            </w:r>
          </w:p>
        </w:tc>
        <w:tc>
          <w:tcPr>
            <w:tcW w:w="1125" w:type="dxa"/>
            <w:tcBorders>
              <w:top w:val="nil"/>
              <w:left w:val="nil"/>
              <w:bottom w:val="single" w:sz="8" w:space="0" w:color="auto"/>
              <w:right w:val="single" w:sz="8" w:space="0" w:color="auto"/>
            </w:tcBorders>
            <w:shd w:val="clear" w:color="auto" w:fill="auto"/>
            <w:noWrap/>
            <w:vAlign w:val="center"/>
            <w:hideMark/>
          </w:tcPr>
          <w:p w14:paraId="2B6C0AF8" w14:textId="77777777" w:rsidR="00E04D69" w:rsidRPr="00EB5A40" w:rsidRDefault="00E04D69">
            <w:pPr>
              <w:jc w:val="center"/>
              <w:rPr>
                <w:color w:val="000000"/>
                <w:sz w:val="20"/>
                <w:szCs w:val="20"/>
              </w:rPr>
            </w:pPr>
            <w:r w:rsidRPr="00EB5A40">
              <w:rPr>
                <w:color w:val="000000"/>
                <w:sz w:val="20"/>
                <w:szCs w:val="20"/>
              </w:rPr>
              <w:t>131</w:t>
            </w:r>
          </w:p>
        </w:tc>
        <w:tc>
          <w:tcPr>
            <w:tcW w:w="1125" w:type="dxa"/>
            <w:tcBorders>
              <w:top w:val="nil"/>
              <w:left w:val="nil"/>
              <w:bottom w:val="single" w:sz="8" w:space="0" w:color="auto"/>
              <w:right w:val="single" w:sz="8" w:space="0" w:color="auto"/>
            </w:tcBorders>
            <w:shd w:val="clear" w:color="auto" w:fill="auto"/>
            <w:noWrap/>
            <w:vAlign w:val="center"/>
            <w:hideMark/>
          </w:tcPr>
          <w:p w14:paraId="6AED9A04" w14:textId="77777777" w:rsidR="00E04D69" w:rsidRPr="00EB5A40" w:rsidRDefault="00E04D69">
            <w:pPr>
              <w:jc w:val="center"/>
              <w:rPr>
                <w:color w:val="000000"/>
                <w:sz w:val="20"/>
                <w:szCs w:val="20"/>
              </w:rPr>
            </w:pPr>
            <w:r w:rsidRPr="00EB5A40">
              <w:rPr>
                <w:color w:val="000000"/>
                <w:sz w:val="20"/>
                <w:szCs w:val="20"/>
              </w:rPr>
              <w:t>-34.4%</w:t>
            </w:r>
          </w:p>
        </w:tc>
        <w:tc>
          <w:tcPr>
            <w:tcW w:w="1125" w:type="dxa"/>
            <w:tcBorders>
              <w:top w:val="nil"/>
              <w:left w:val="nil"/>
              <w:bottom w:val="single" w:sz="8" w:space="0" w:color="auto"/>
              <w:right w:val="single" w:sz="8" w:space="0" w:color="auto"/>
            </w:tcBorders>
            <w:shd w:val="clear" w:color="auto" w:fill="auto"/>
            <w:noWrap/>
            <w:vAlign w:val="center"/>
            <w:hideMark/>
          </w:tcPr>
          <w:p w14:paraId="383A880F" w14:textId="77777777" w:rsidR="00E04D69" w:rsidRPr="00EB5A40" w:rsidRDefault="00E04D69" w:rsidP="00EB5A40">
            <w:pPr>
              <w:jc w:val="center"/>
              <w:rPr>
                <w:rFonts w:cs="Arial"/>
                <w:color w:val="222222"/>
                <w:sz w:val="20"/>
                <w:szCs w:val="20"/>
              </w:rPr>
            </w:pPr>
            <w:r w:rsidRPr="00EB5A40">
              <w:rPr>
                <w:rFonts w:cs="Arial"/>
                <w:color w:val="222222"/>
                <w:sz w:val="20"/>
                <w:szCs w:val="20"/>
              </w:rPr>
              <w:t>86</w:t>
            </w:r>
          </w:p>
        </w:tc>
      </w:tr>
      <w:tr w:rsidR="008845C2" w:rsidRPr="0065370E" w14:paraId="6ED34683" w14:textId="77777777" w:rsidTr="00EB5A40">
        <w:trPr>
          <w:trHeight w:val="288"/>
        </w:trPr>
        <w:tc>
          <w:tcPr>
            <w:tcW w:w="1125" w:type="dxa"/>
            <w:tcBorders>
              <w:top w:val="nil"/>
              <w:left w:val="single" w:sz="8" w:space="0" w:color="auto"/>
              <w:bottom w:val="single" w:sz="8" w:space="0" w:color="auto"/>
              <w:right w:val="single" w:sz="8" w:space="0" w:color="auto"/>
            </w:tcBorders>
            <w:shd w:val="clear" w:color="000000" w:fill="CCFFCC"/>
            <w:noWrap/>
            <w:vAlign w:val="center"/>
            <w:hideMark/>
          </w:tcPr>
          <w:p w14:paraId="020E40E7" w14:textId="77777777" w:rsidR="00E04D69" w:rsidRPr="00EB5A40" w:rsidRDefault="00E04D69">
            <w:pPr>
              <w:jc w:val="center"/>
              <w:rPr>
                <w:color w:val="000000"/>
                <w:sz w:val="20"/>
                <w:szCs w:val="20"/>
              </w:rPr>
            </w:pPr>
            <w:r w:rsidRPr="00EB5A40">
              <w:rPr>
                <w:color w:val="000000"/>
                <w:sz w:val="20"/>
                <w:szCs w:val="20"/>
              </w:rPr>
              <w:t>45 to 54</w:t>
            </w:r>
          </w:p>
        </w:tc>
        <w:tc>
          <w:tcPr>
            <w:tcW w:w="1125" w:type="dxa"/>
            <w:tcBorders>
              <w:top w:val="nil"/>
              <w:left w:val="nil"/>
              <w:bottom w:val="single" w:sz="8" w:space="0" w:color="auto"/>
              <w:right w:val="single" w:sz="8" w:space="0" w:color="auto"/>
            </w:tcBorders>
            <w:shd w:val="clear" w:color="auto" w:fill="auto"/>
            <w:noWrap/>
            <w:vAlign w:val="center"/>
            <w:hideMark/>
          </w:tcPr>
          <w:p w14:paraId="77DC9609" w14:textId="77777777" w:rsidR="00E04D69" w:rsidRPr="00EB5A40" w:rsidRDefault="00E04D69">
            <w:pPr>
              <w:jc w:val="center"/>
              <w:rPr>
                <w:color w:val="000000"/>
                <w:sz w:val="20"/>
                <w:szCs w:val="20"/>
              </w:rPr>
            </w:pPr>
            <w:r w:rsidRPr="00EB5A40">
              <w:rPr>
                <w:color w:val="000000"/>
                <w:sz w:val="20"/>
                <w:szCs w:val="20"/>
              </w:rPr>
              <w:t>82</w:t>
            </w:r>
          </w:p>
        </w:tc>
        <w:tc>
          <w:tcPr>
            <w:tcW w:w="1125" w:type="dxa"/>
            <w:tcBorders>
              <w:top w:val="nil"/>
              <w:left w:val="nil"/>
              <w:bottom w:val="single" w:sz="8" w:space="0" w:color="auto"/>
              <w:right w:val="single" w:sz="8" w:space="0" w:color="auto"/>
            </w:tcBorders>
            <w:shd w:val="clear" w:color="auto" w:fill="auto"/>
            <w:noWrap/>
            <w:vAlign w:val="center"/>
            <w:hideMark/>
          </w:tcPr>
          <w:p w14:paraId="6474D958" w14:textId="77777777" w:rsidR="00E04D69" w:rsidRPr="00EB5A40" w:rsidRDefault="00E04D69">
            <w:pPr>
              <w:jc w:val="center"/>
              <w:rPr>
                <w:color w:val="000000"/>
                <w:sz w:val="20"/>
                <w:szCs w:val="20"/>
              </w:rPr>
            </w:pPr>
            <w:r w:rsidRPr="00EB5A40">
              <w:rPr>
                <w:color w:val="000000"/>
                <w:sz w:val="20"/>
                <w:szCs w:val="20"/>
              </w:rPr>
              <w:t>19.5%</w:t>
            </w:r>
          </w:p>
        </w:tc>
        <w:tc>
          <w:tcPr>
            <w:tcW w:w="1125" w:type="dxa"/>
            <w:tcBorders>
              <w:top w:val="nil"/>
              <w:left w:val="nil"/>
              <w:bottom w:val="single" w:sz="8" w:space="0" w:color="auto"/>
              <w:right w:val="single" w:sz="8" w:space="0" w:color="auto"/>
            </w:tcBorders>
            <w:shd w:val="clear" w:color="auto" w:fill="auto"/>
            <w:noWrap/>
            <w:vAlign w:val="center"/>
            <w:hideMark/>
          </w:tcPr>
          <w:p w14:paraId="71C30279" w14:textId="77777777" w:rsidR="00E04D69" w:rsidRPr="00EB5A40" w:rsidRDefault="00E04D69">
            <w:pPr>
              <w:jc w:val="center"/>
              <w:rPr>
                <w:color w:val="000000"/>
                <w:sz w:val="20"/>
                <w:szCs w:val="20"/>
              </w:rPr>
            </w:pPr>
            <w:r w:rsidRPr="00EB5A40">
              <w:rPr>
                <w:color w:val="000000"/>
                <w:sz w:val="20"/>
                <w:szCs w:val="20"/>
              </w:rPr>
              <w:t>98</w:t>
            </w:r>
          </w:p>
        </w:tc>
        <w:tc>
          <w:tcPr>
            <w:tcW w:w="1125" w:type="dxa"/>
            <w:tcBorders>
              <w:top w:val="nil"/>
              <w:left w:val="nil"/>
              <w:bottom w:val="single" w:sz="8" w:space="0" w:color="auto"/>
              <w:right w:val="single" w:sz="8" w:space="0" w:color="auto"/>
            </w:tcBorders>
            <w:shd w:val="clear" w:color="auto" w:fill="auto"/>
            <w:noWrap/>
            <w:vAlign w:val="center"/>
            <w:hideMark/>
          </w:tcPr>
          <w:p w14:paraId="6142BF4F" w14:textId="77777777" w:rsidR="00E04D69" w:rsidRPr="00EB5A40" w:rsidRDefault="00E04D69">
            <w:pPr>
              <w:jc w:val="center"/>
              <w:rPr>
                <w:color w:val="000000"/>
                <w:sz w:val="20"/>
                <w:szCs w:val="20"/>
              </w:rPr>
            </w:pPr>
            <w:r w:rsidRPr="00EB5A40">
              <w:rPr>
                <w:color w:val="000000"/>
                <w:sz w:val="20"/>
                <w:szCs w:val="20"/>
              </w:rPr>
              <w:t>98.0%</w:t>
            </w:r>
          </w:p>
        </w:tc>
        <w:tc>
          <w:tcPr>
            <w:tcW w:w="1125" w:type="dxa"/>
            <w:tcBorders>
              <w:top w:val="nil"/>
              <w:left w:val="nil"/>
              <w:bottom w:val="single" w:sz="8" w:space="0" w:color="auto"/>
              <w:right w:val="single" w:sz="8" w:space="0" w:color="auto"/>
            </w:tcBorders>
            <w:shd w:val="clear" w:color="auto" w:fill="auto"/>
            <w:noWrap/>
            <w:vAlign w:val="center"/>
            <w:hideMark/>
          </w:tcPr>
          <w:p w14:paraId="58B23481" w14:textId="77777777" w:rsidR="00E04D69" w:rsidRPr="00EB5A40" w:rsidRDefault="00E04D69">
            <w:pPr>
              <w:jc w:val="center"/>
              <w:rPr>
                <w:color w:val="000000"/>
                <w:sz w:val="20"/>
                <w:szCs w:val="20"/>
              </w:rPr>
            </w:pPr>
            <w:r w:rsidRPr="00EB5A40">
              <w:rPr>
                <w:color w:val="000000"/>
                <w:sz w:val="20"/>
                <w:szCs w:val="20"/>
              </w:rPr>
              <w:t>194</w:t>
            </w:r>
          </w:p>
        </w:tc>
        <w:tc>
          <w:tcPr>
            <w:tcW w:w="1125" w:type="dxa"/>
            <w:tcBorders>
              <w:top w:val="nil"/>
              <w:left w:val="nil"/>
              <w:bottom w:val="single" w:sz="8" w:space="0" w:color="auto"/>
              <w:right w:val="single" w:sz="8" w:space="0" w:color="auto"/>
            </w:tcBorders>
            <w:shd w:val="clear" w:color="auto" w:fill="auto"/>
            <w:noWrap/>
            <w:vAlign w:val="center"/>
            <w:hideMark/>
          </w:tcPr>
          <w:p w14:paraId="47952DE7" w14:textId="77777777" w:rsidR="00E04D69" w:rsidRPr="00EB5A40" w:rsidRDefault="00E04D69">
            <w:pPr>
              <w:jc w:val="center"/>
              <w:rPr>
                <w:color w:val="000000"/>
                <w:sz w:val="20"/>
                <w:szCs w:val="20"/>
              </w:rPr>
            </w:pPr>
            <w:r w:rsidRPr="00EB5A40">
              <w:rPr>
                <w:color w:val="000000"/>
                <w:sz w:val="20"/>
                <w:szCs w:val="20"/>
              </w:rPr>
              <w:t>-13.9%</w:t>
            </w:r>
          </w:p>
        </w:tc>
        <w:tc>
          <w:tcPr>
            <w:tcW w:w="1125" w:type="dxa"/>
            <w:tcBorders>
              <w:top w:val="nil"/>
              <w:left w:val="nil"/>
              <w:bottom w:val="single" w:sz="8" w:space="0" w:color="auto"/>
              <w:right w:val="single" w:sz="8" w:space="0" w:color="auto"/>
            </w:tcBorders>
            <w:shd w:val="clear" w:color="auto" w:fill="auto"/>
            <w:noWrap/>
            <w:vAlign w:val="center"/>
            <w:hideMark/>
          </w:tcPr>
          <w:p w14:paraId="410EC61E" w14:textId="77777777" w:rsidR="00E04D69" w:rsidRPr="00EB5A40" w:rsidRDefault="00E04D69" w:rsidP="00EB5A40">
            <w:pPr>
              <w:jc w:val="center"/>
              <w:rPr>
                <w:rFonts w:cs="Arial"/>
                <w:color w:val="222222"/>
                <w:sz w:val="20"/>
                <w:szCs w:val="20"/>
              </w:rPr>
            </w:pPr>
            <w:r w:rsidRPr="00EB5A40">
              <w:rPr>
                <w:rFonts w:cs="Arial"/>
                <w:color w:val="222222"/>
                <w:sz w:val="20"/>
                <w:szCs w:val="20"/>
              </w:rPr>
              <w:t>167</w:t>
            </w:r>
          </w:p>
        </w:tc>
      </w:tr>
      <w:tr w:rsidR="008845C2" w:rsidRPr="0065370E" w14:paraId="3C85A4BD" w14:textId="77777777" w:rsidTr="00EB5A40">
        <w:trPr>
          <w:trHeight w:val="288"/>
        </w:trPr>
        <w:tc>
          <w:tcPr>
            <w:tcW w:w="1125" w:type="dxa"/>
            <w:tcBorders>
              <w:top w:val="nil"/>
              <w:left w:val="single" w:sz="8" w:space="0" w:color="auto"/>
              <w:bottom w:val="single" w:sz="8" w:space="0" w:color="auto"/>
              <w:right w:val="single" w:sz="8" w:space="0" w:color="auto"/>
            </w:tcBorders>
            <w:shd w:val="clear" w:color="000000" w:fill="CCFFCC"/>
            <w:noWrap/>
            <w:vAlign w:val="center"/>
            <w:hideMark/>
          </w:tcPr>
          <w:p w14:paraId="3A44F2B8" w14:textId="77777777" w:rsidR="00E04D69" w:rsidRPr="00EB5A40" w:rsidRDefault="00E04D69">
            <w:pPr>
              <w:jc w:val="center"/>
              <w:rPr>
                <w:color w:val="000000"/>
                <w:sz w:val="20"/>
                <w:szCs w:val="20"/>
              </w:rPr>
            </w:pPr>
            <w:r w:rsidRPr="00EB5A40">
              <w:rPr>
                <w:color w:val="000000"/>
                <w:sz w:val="20"/>
                <w:szCs w:val="20"/>
              </w:rPr>
              <w:t>55 to 59</w:t>
            </w:r>
          </w:p>
        </w:tc>
        <w:tc>
          <w:tcPr>
            <w:tcW w:w="1125" w:type="dxa"/>
            <w:tcBorders>
              <w:top w:val="nil"/>
              <w:left w:val="nil"/>
              <w:bottom w:val="single" w:sz="8" w:space="0" w:color="auto"/>
              <w:right w:val="single" w:sz="8" w:space="0" w:color="auto"/>
            </w:tcBorders>
            <w:shd w:val="clear" w:color="auto" w:fill="auto"/>
            <w:noWrap/>
            <w:vAlign w:val="center"/>
            <w:hideMark/>
          </w:tcPr>
          <w:p w14:paraId="022062AD" w14:textId="77777777" w:rsidR="00E04D69" w:rsidRPr="00EB5A40" w:rsidRDefault="00E04D69">
            <w:pPr>
              <w:jc w:val="center"/>
              <w:rPr>
                <w:color w:val="000000"/>
                <w:sz w:val="20"/>
                <w:szCs w:val="20"/>
              </w:rPr>
            </w:pPr>
            <w:r w:rsidRPr="00EB5A40">
              <w:rPr>
                <w:color w:val="000000"/>
                <w:sz w:val="20"/>
                <w:szCs w:val="20"/>
              </w:rPr>
              <w:t>43</w:t>
            </w:r>
          </w:p>
        </w:tc>
        <w:tc>
          <w:tcPr>
            <w:tcW w:w="1125" w:type="dxa"/>
            <w:tcBorders>
              <w:top w:val="nil"/>
              <w:left w:val="nil"/>
              <w:bottom w:val="single" w:sz="8" w:space="0" w:color="auto"/>
              <w:right w:val="single" w:sz="8" w:space="0" w:color="auto"/>
            </w:tcBorders>
            <w:shd w:val="clear" w:color="auto" w:fill="auto"/>
            <w:noWrap/>
            <w:vAlign w:val="center"/>
            <w:hideMark/>
          </w:tcPr>
          <w:p w14:paraId="2F76348E" w14:textId="77777777" w:rsidR="00E04D69" w:rsidRPr="00EB5A40" w:rsidRDefault="00E04D69">
            <w:pPr>
              <w:jc w:val="center"/>
              <w:rPr>
                <w:color w:val="000000"/>
                <w:sz w:val="20"/>
                <w:szCs w:val="20"/>
              </w:rPr>
            </w:pPr>
            <w:r w:rsidRPr="00EB5A40">
              <w:rPr>
                <w:color w:val="000000"/>
                <w:sz w:val="20"/>
                <w:szCs w:val="20"/>
              </w:rPr>
              <w:t>-4.7%</w:t>
            </w:r>
          </w:p>
        </w:tc>
        <w:tc>
          <w:tcPr>
            <w:tcW w:w="1125" w:type="dxa"/>
            <w:tcBorders>
              <w:top w:val="nil"/>
              <w:left w:val="nil"/>
              <w:bottom w:val="single" w:sz="8" w:space="0" w:color="auto"/>
              <w:right w:val="single" w:sz="8" w:space="0" w:color="auto"/>
            </w:tcBorders>
            <w:shd w:val="clear" w:color="auto" w:fill="auto"/>
            <w:noWrap/>
            <w:vAlign w:val="center"/>
            <w:hideMark/>
          </w:tcPr>
          <w:p w14:paraId="64CAFDC8" w14:textId="77777777" w:rsidR="00E04D69" w:rsidRPr="00EB5A40" w:rsidRDefault="00E04D69">
            <w:pPr>
              <w:jc w:val="center"/>
              <w:rPr>
                <w:color w:val="000000"/>
                <w:sz w:val="20"/>
                <w:szCs w:val="20"/>
              </w:rPr>
            </w:pPr>
            <w:r w:rsidRPr="00EB5A40">
              <w:rPr>
                <w:color w:val="000000"/>
                <w:sz w:val="20"/>
                <w:szCs w:val="20"/>
              </w:rPr>
              <w:t>41</w:t>
            </w:r>
          </w:p>
        </w:tc>
        <w:tc>
          <w:tcPr>
            <w:tcW w:w="1125" w:type="dxa"/>
            <w:tcBorders>
              <w:top w:val="nil"/>
              <w:left w:val="nil"/>
              <w:bottom w:val="single" w:sz="8" w:space="0" w:color="auto"/>
              <w:right w:val="single" w:sz="8" w:space="0" w:color="auto"/>
            </w:tcBorders>
            <w:shd w:val="clear" w:color="auto" w:fill="auto"/>
            <w:noWrap/>
            <w:vAlign w:val="center"/>
            <w:hideMark/>
          </w:tcPr>
          <w:p w14:paraId="5A76DC76" w14:textId="77777777" w:rsidR="00E04D69" w:rsidRPr="00EB5A40" w:rsidRDefault="00E04D69">
            <w:pPr>
              <w:jc w:val="center"/>
              <w:rPr>
                <w:color w:val="000000"/>
                <w:sz w:val="20"/>
                <w:szCs w:val="20"/>
              </w:rPr>
            </w:pPr>
            <w:r w:rsidRPr="00EB5A40">
              <w:rPr>
                <w:color w:val="000000"/>
                <w:sz w:val="20"/>
                <w:szCs w:val="20"/>
              </w:rPr>
              <w:t>51.2%</w:t>
            </w:r>
          </w:p>
        </w:tc>
        <w:tc>
          <w:tcPr>
            <w:tcW w:w="1125" w:type="dxa"/>
            <w:tcBorders>
              <w:top w:val="nil"/>
              <w:left w:val="nil"/>
              <w:bottom w:val="single" w:sz="8" w:space="0" w:color="auto"/>
              <w:right w:val="single" w:sz="8" w:space="0" w:color="auto"/>
            </w:tcBorders>
            <w:shd w:val="clear" w:color="auto" w:fill="auto"/>
            <w:noWrap/>
            <w:vAlign w:val="center"/>
            <w:hideMark/>
          </w:tcPr>
          <w:p w14:paraId="1CF48FE8" w14:textId="77777777" w:rsidR="00E04D69" w:rsidRPr="00EB5A40" w:rsidRDefault="00E04D69">
            <w:pPr>
              <w:jc w:val="center"/>
              <w:rPr>
                <w:color w:val="000000"/>
                <w:sz w:val="20"/>
                <w:szCs w:val="20"/>
              </w:rPr>
            </w:pPr>
            <w:r w:rsidRPr="00EB5A40">
              <w:rPr>
                <w:color w:val="000000"/>
                <w:sz w:val="20"/>
                <w:szCs w:val="20"/>
              </w:rPr>
              <w:t>62</w:t>
            </w:r>
          </w:p>
        </w:tc>
        <w:tc>
          <w:tcPr>
            <w:tcW w:w="1125" w:type="dxa"/>
            <w:tcBorders>
              <w:top w:val="nil"/>
              <w:left w:val="nil"/>
              <w:bottom w:val="single" w:sz="8" w:space="0" w:color="auto"/>
              <w:right w:val="single" w:sz="8" w:space="0" w:color="auto"/>
            </w:tcBorders>
            <w:shd w:val="clear" w:color="auto" w:fill="auto"/>
            <w:noWrap/>
            <w:vAlign w:val="center"/>
            <w:hideMark/>
          </w:tcPr>
          <w:p w14:paraId="6D41867A" w14:textId="77777777" w:rsidR="00E04D69" w:rsidRPr="00EB5A40" w:rsidRDefault="00E04D69">
            <w:pPr>
              <w:jc w:val="center"/>
              <w:rPr>
                <w:color w:val="000000"/>
                <w:sz w:val="20"/>
                <w:szCs w:val="20"/>
              </w:rPr>
            </w:pPr>
            <w:r w:rsidRPr="00EB5A40">
              <w:rPr>
                <w:color w:val="000000"/>
                <w:sz w:val="20"/>
                <w:szCs w:val="20"/>
              </w:rPr>
              <w:t>-17.7%</w:t>
            </w:r>
          </w:p>
        </w:tc>
        <w:tc>
          <w:tcPr>
            <w:tcW w:w="1125" w:type="dxa"/>
            <w:tcBorders>
              <w:top w:val="nil"/>
              <w:left w:val="nil"/>
              <w:bottom w:val="single" w:sz="8" w:space="0" w:color="auto"/>
              <w:right w:val="single" w:sz="8" w:space="0" w:color="auto"/>
            </w:tcBorders>
            <w:shd w:val="clear" w:color="auto" w:fill="auto"/>
            <w:noWrap/>
            <w:vAlign w:val="center"/>
            <w:hideMark/>
          </w:tcPr>
          <w:p w14:paraId="05D0F64D" w14:textId="77777777" w:rsidR="00E04D69" w:rsidRPr="00EB5A40" w:rsidRDefault="00E04D69" w:rsidP="00EB5A40">
            <w:pPr>
              <w:jc w:val="center"/>
              <w:rPr>
                <w:rFonts w:cs="Arial"/>
                <w:color w:val="222222"/>
                <w:sz w:val="20"/>
                <w:szCs w:val="20"/>
              </w:rPr>
            </w:pPr>
            <w:r w:rsidRPr="00EB5A40">
              <w:rPr>
                <w:rFonts w:cs="Arial"/>
                <w:color w:val="222222"/>
                <w:sz w:val="20"/>
                <w:szCs w:val="20"/>
              </w:rPr>
              <w:t>51</w:t>
            </w:r>
          </w:p>
        </w:tc>
      </w:tr>
      <w:tr w:rsidR="008845C2" w:rsidRPr="0065370E" w14:paraId="3CE87D2F" w14:textId="77777777" w:rsidTr="00EB5A40">
        <w:trPr>
          <w:trHeight w:val="288"/>
        </w:trPr>
        <w:tc>
          <w:tcPr>
            <w:tcW w:w="1125" w:type="dxa"/>
            <w:tcBorders>
              <w:top w:val="nil"/>
              <w:left w:val="single" w:sz="8" w:space="0" w:color="auto"/>
              <w:bottom w:val="single" w:sz="8" w:space="0" w:color="auto"/>
              <w:right w:val="single" w:sz="8" w:space="0" w:color="auto"/>
            </w:tcBorders>
            <w:shd w:val="clear" w:color="000000" w:fill="CCFFCC"/>
            <w:noWrap/>
            <w:vAlign w:val="center"/>
            <w:hideMark/>
          </w:tcPr>
          <w:p w14:paraId="6E0DCC69" w14:textId="77777777" w:rsidR="00E04D69" w:rsidRPr="00EB5A40" w:rsidRDefault="00E04D69">
            <w:pPr>
              <w:jc w:val="center"/>
              <w:rPr>
                <w:color w:val="000000"/>
                <w:sz w:val="20"/>
                <w:szCs w:val="20"/>
              </w:rPr>
            </w:pPr>
            <w:r w:rsidRPr="00EB5A40">
              <w:rPr>
                <w:color w:val="000000"/>
                <w:sz w:val="20"/>
                <w:szCs w:val="20"/>
              </w:rPr>
              <w:t>60 to 64</w:t>
            </w:r>
          </w:p>
        </w:tc>
        <w:tc>
          <w:tcPr>
            <w:tcW w:w="1125" w:type="dxa"/>
            <w:tcBorders>
              <w:top w:val="nil"/>
              <w:left w:val="nil"/>
              <w:bottom w:val="single" w:sz="8" w:space="0" w:color="auto"/>
              <w:right w:val="single" w:sz="8" w:space="0" w:color="auto"/>
            </w:tcBorders>
            <w:shd w:val="clear" w:color="auto" w:fill="auto"/>
            <w:noWrap/>
            <w:vAlign w:val="center"/>
            <w:hideMark/>
          </w:tcPr>
          <w:p w14:paraId="2267CB9C" w14:textId="77777777" w:rsidR="00E04D69" w:rsidRPr="00EB5A40" w:rsidRDefault="00E04D69">
            <w:pPr>
              <w:jc w:val="center"/>
              <w:rPr>
                <w:color w:val="000000"/>
                <w:sz w:val="20"/>
                <w:szCs w:val="20"/>
              </w:rPr>
            </w:pPr>
            <w:r w:rsidRPr="00EB5A40">
              <w:rPr>
                <w:color w:val="000000"/>
                <w:sz w:val="20"/>
                <w:szCs w:val="20"/>
              </w:rPr>
              <w:t>27</w:t>
            </w:r>
          </w:p>
        </w:tc>
        <w:tc>
          <w:tcPr>
            <w:tcW w:w="1125" w:type="dxa"/>
            <w:tcBorders>
              <w:top w:val="nil"/>
              <w:left w:val="nil"/>
              <w:bottom w:val="single" w:sz="8" w:space="0" w:color="auto"/>
              <w:right w:val="single" w:sz="8" w:space="0" w:color="auto"/>
            </w:tcBorders>
            <w:shd w:val="clear" w:color="auto" w:fill="auto"/>
            <w:noWrap/>
            <w:vAlign w:val="center"/>
            <w:hideMark/>
          </w:tcPr>
          <w:p w14:paraId="02FAF611" w14:textId="77777777" w:rsidR="00E04D69" w:rsidRPr="00EB5A40" w:rsidRDefault="00E04D69">
            <w:pPr>
              <w:jc w:val="center"/>
              <w:rPr>
                <w:color w:val="000000"/>
                <w:sz w:val="20"/>
                <w:szCs w:val="20"/>
              </w:rPr>
            </w:pPr>
            <w:r w:rsidRPr="00EB5A40">
              <w:rPr>
                <w:color w:val="000000"/>
                <w:sz w:val="20"/>
                <w:szCs w:val="20"/>
              </w:rPr>
              <w:t>55.6%</w:t>
            </w:r>
          </w:p>
        </w:tc>
        <w:tc>
          <w:tcPr>
            <w:tcW w:w="1125" w:type="dxa"/>
            <w:tcBorders>
              <w:top w:val="nil"/>
              <w:left w:val="nil"/>
              <w:bottom w:val="single" w:sz="8" w:space="0" w:color="auto"/>
              <w:right w:val="single" w:sz="8" w:space="0" w:color="auto"/>
            </w:tcBorders>
            <w:shd w:val="clear" w:color="auto" w:fill="auto"/>
            <w:noWrap/>
            <w:vAlign w:val="center"/>
            <w:hideMark/>
          </w:tcPr>
          <w:p w14:paraId="70BEAE35" w14:textId="77777777" w:rsidR="00E04D69" w:rsidRPr="00EB5A40" w:rsidRDefault="00E04D69">
            <w:pPr>
              <w:jc w:val="center"/>
              <w:rPr>
                <w:color w:val="000000"/>
                <w:sz w:val="20"/>
                <w:szCs w:val="20"/>
              </w:rPr>
            </w:pPr>
            <w:r w:rsidRPr="00EB5A40">
              <w:rPr>
                <w:color w:val="000000"/>
                <w:sz w:val="20"/>
                <w:szCs w:val="20"/>
              </w:rPr>
              <w:t>42</w:t>
            </w:r>
          </w:p>
        </w:tc>
        <w:tc>
          <w:tcPr>
            <w:tcW w:w="1125" w:type="dxa"/>
            <w:tcBorders>
              <w:top w:val="nil"/>
              <w:left w:val="nil"/>
              <w:bottom w:val="single" w:sz="8" w:space="0" w:color="auto"/>
              <w:right w:val="single" w:sz="8" w:space="0" w:color="auto"/>
            </w:tcBorders>
            <w:shd w:val="clear" w:color="auto" w:fill="auto"/>
            <w:noWrap/>
            <w:vAlign w:val="center"/>
            <w:hideMark/>
          </w:tcPr>
          <w:p w14:paraId="5E2E24C2" w14:textId="77777777" w:rsidR="00E04D69" w:rsidRPr="00EB5A40" w:rsidRDefault="00E04D69">
            <w:pPr>
              <w:jc w:val="center"/>
              <w:rPr>
                <w:color w:val="000000"/>
                <w:sz w:val="20"/>
                <w:szCs w:val="20"/>
              </w:rPr>
            </w:pPr>
            <w:r w:rsidRPr="00EB5A40">
              <w:rPr>
                <w:color w:val="000000"/>
                <w:sz w:val="20"/>
                <w:szCs w:val="20"/>
              </w:rPr>
              <w:t>31.0%</w:t>
            </w:r>
          </w:p>
        </w:tc>
        <w:tc>
          <w:tcPr>
            <w:tcW w:w="1125" w:type="dxa"/>
            <w:tcBorders>
              <w:top w:val="nil"/>
              <w:left w:val="nil"/>
              <w:bottom w:val="single" w:sz="8" w:space="0" w:color="auto"/>
              <w:right w:val="single" w:sz="8" w:space="0" w:color="auto"/>
            </w:tcBorders>
            <w:shd w:val="clear" w:color="auto" w:fill="auto"/>
            <w:noWrap/>
            <w:vAlign w:val="center"/>
            <w:hideMark/>
          </w:tcPr>
          <w:p w14:paraId="2B4520D6" w14:textId="77777777" w:rsidR="00E04D69" w:rsidRPr="00EB5A40" w:rsidRDefault="00E04D69">
            <w:pPr>
              <w:jc w:val="center"/>
              <w:rPr>
                <w:color w:val="000000"/>
                <w:sz w:val="20"/>
                <w:szCs w:val="20"/>
              </w:rPr>
            </w:pPr>
            <w:r w:rsidRPr="00EB5A40">
              <w:rPr>
                <w:color w:val="000000"/>
                <w:sz w:val="20"/>
                <w:szCs w:val="20"/>
              </w:rPr>
              <w:t>55</w:t>
            </w:r>
          </w:p>
        </w:tc>
        <w:tc>
          <w:tcPr>
            <w:tcW w:w="1125" w:type="dxa"/>
            <w:tcBorders>
              <w:top w:val="nil"/>
              <w:left w:val="nil"/>
              <w:bottom w:val="single" w:sz="8" w:space="0" w:color="auto"/>
              <w:right w:val="single" w:sz="8" w:space="0" w:color="auto"/>
            </w:tcBorders>
            <w:shd w:val="clear" w:color="auto" w:fill="auto"/>
            <w:noWrap/>
            <w:vAlign w:val="center"/>
            <w:hideMark/>
          </w:tcPr>
          <w:p w14:paraId="16097CF9" w14:textId="77777777" w:rsidR="00E04D69" w:rsidRPr="00EB5A40" w:rsidRDefault="00E04D69">
            <w:pPr>
              <w:jc w:val="center"/>
              <w:rPr>
                <w:color w:val="000000"/>
                <w:sz w:val="20"/>
                <w:szCs w:val="20"/>
              </w:rPr>
            </w:pPr>
            <w:r w:rsidRPr="00EB5A40">
              <w:rPr>
                <w:color w:val="000000"/>
                <w:sz w:val="20"/>
                <w:szCs w:val="20"/>
              </w:rPr>
              <w:t>-36.4%</w:t>
            </w:r>
          </w:p>
        </w:tc>
        <w:tc>
          <w:tcPr>
            <w:tcW w:w="1125" w:type="dxa"/>
            <w:tcBorders>
              <w:top w:val="nil"/>
              <w:left w:val="nil"/>
              <w:bottom w:val="single" w:sz="8" w:space="0" w:color="auto"/>
              <w:right w:val="single" w:sz="8" w:space="0" w:color="auto"/>
            </w:tcBorders>
            <w:shd w:val="clear" w:color="auto" w:fill="auto"/>
            <w:noWrap/>
            <w:vAlign w:val="center"/>
            <w:hideMark/>
          </w:tcPr>
          <w:p w14:paraId="050C1E06" w14:textId="77777777" w:rsidR="00E04D69" w:rsidRPr="00EB5A40" w:rsidRDefault="00E04D69" w:rsidP="00EB5A40">
            <w:pPr>
              <w:jc w:val="center"/>
              <w:rPr>
                <w:rFonts w:cs="Arial"/>
                <w:color w:val="222222"/>
                <w:sz w:val="20"/>
                <w:szCs w:val="20"/>
              </w:rPr>
            </w:pPr>
            <w:r w:rsidRPr="00EB5A40">
              <w:rPr>
                <w:rFonts w:cs="Arial"/>
                <w:color w:val="222222"/>
                <w:sz w:val="20"/>
                <w:szCs w:val="20"/>
              </w:rPr>
              <w:t>35</w:t>
            </w:r>
          </w:p>
        </w:tc>
      </w:tr>
      <w:tr w:rsidR="008845C2" w:rsidRPr="0065370E" w14:paraId="7A530E04" w14:textId="77777777" w:rsidTr="00EB5A40">
        <w:trPr>
          <w:trHeight w:val="288"/>
        </w:trPr>
        <w:tc>
          <w:tcPr>
            <w:tcW w:w="1125" w:type="dxa"/>
            <w:tcBorders>
              <w:top w:val="nil"/>
              <w:left w:val="single" w:sz="8" w:space="0" w:color="auto"/>
              <w:bottom w:val="single" w:sz="8" w:space="0" w:color="auto"/>
              <w:right w:val="single" w:sz="8" w:space="0" w:color="auto"/>
            </w:tcBorders>
            <w:shd w:val="clear" w:color="000000" w:fill="CCFFCC"/>
            <w:noWrap/>
            <w:vAlign w:val="center"/>
            <w:hideMark/>
          </w:tcPr>
          <w:p w14:paraId="3E1745F9" w14:textId="77777777" w:rsidR="00E04D69" w:rsidRPr="00EB5A40" w:rsidRDefault="00E04D69">
            <w:pPr>
              <w:jc w:val="center"/>
              <w:rPr>
                <w:color w:val="000000"/>
                <w:sz w:val="20"/>
                <w:szCs w:val="20"/>
              </w:rPr>
            </w:pPr>
            <w:r w:rsidRPr="00EB5A40">
              <w:rPr>
                <w:color w:val="000000"/>
                <w:sz w:val="20"/>
                <w:szCs w:val="20"/>
              </w:rPr>
              <w:t>65 to 74</w:t>
            </w:r>
          </w:p>
        </w:tc>
        <w:tc>
          <w:tcPr>
            <w:tcW w:w="1125" w:type="dxa"/>
            <w:tcBorders>
              <w:top w:val="nil"/>
              <w:left w:val="nil"/>
              <w:bottom w:val="single" w:sz="8" w:space="0" w:color="auto"/>
              <w:right w:val="single" w:sz="8" w:space="0" w:color="auto"/>
            </w:tcBorders>
            <w:shd w:val="clear" w:color="auto" w:fill="auto"/>
            <w:noWrap/>
            <w:vAlign w:val="center"/>
            <w:hideMark/>
          </w:tcPr>
          <w:p w14:paraId="1DE42964" w14:textId="77777777" w:rsidR="00E04D69" w:rsidRPr="00EB5A40" w:rsidRDefault="00E04D69">
            <w:pPr>
              <w:jc w:val="center"/>
              <w:rPr>
                <w:color w:val="000000"/>
                <w:sz w:val="20"/>
                <w:szCs w:val="20"/>
              </w:rPr>
            </w:pPr>
            <w:r w:rsidRPr="00EB5A40">
              <w:rPr>
                <w:color w:val="000000"/>
                <w:sz w:val="20"/>
                <w:szCs w:val="20"/>
              </w:rPr>
              <w:t>32</w:t>
            </w:r>
          </w:p>
        </w:tc>
        <w:tc>
          <w:tcPr>
            <w:tcW w:w="1125" w:type="dxa"/>
            <w:tcBorders>
              <w:top w:val="nil"/>
              <w:left w:val="nil"/>
              <w:bottom w:val="single" w:sz="8" w:space="0" w:color="auto"/>
              <w:right w:val="single" w:sz="8" w:space="0" w:color="auto"/>
            </w:tcBorders>
            <w:shd w:val="clear" w:color="auto" w:fill="auto"/>
            <w:noWrap/>
            <w:vAlign w:val="center"/>
            <w:hideMark/>
          </w:tcPr>
          <w:p w14:paraId="5514A330" w14:textId="77777777" w:rsidR="00E04D69" w:rsidRPr="00EB5A40" w:rsidRDefault="00E04D69">
            <w:pPr>
              <w:jc w:val="center"/>
              <w:rPr>
                <w:color w:val="000000"/>
                <w:sz w:val="20"/>
                <w:szCs w:val="20"/>
              </w:rPr>
            </w:pPr>
            <w:r w:rsidRPr="00EB5A40">
              <w:rPr>
                <w:color w:val="000000"/>
                <w:sz w:val="20"/>
                <w:szCs w:val="20"/>
              </w:rPr>
              <w:t>31.3%</w:t>
            </w:r>
          </w:p>
        </w:tc>
        <w:tc>
          <w:tcPr>
            <w:tcW w:w="1125" w:type="dxa"/>
            <w:tcBorders>
              <w:top w:val="nil"/>
              <w:left w:val="nil"/>
              <w:bottom w:val="single" w:sz="8" w:space="0" w:color="auto"/>
              <w:right w:val="single" w:sz="8" w:space="0" w:color="auto"/>
            </w:tcBorders>
            <w:shd w:val="clear" w:color="auto" w:fill="auto"/>
            <w:noWrap/>
            <w:vAlign w:val="center"/>
            <w:hideMark/>
          </w:tcPr>
          <w:p w14:paraId="13C55BAE" w14:textId="77777777" w:rsidR="00E04D69" w:rsidRPr="00EB5A40" w:rsidRDefault="00E04D69">
            <w:pPr>
              <w:jc w:val="center"/>
              <w:rPr>
                <w:color w:val="000000"/>
                <w:sz w:val="20"/>
                <w:szCs w:val="20"/>
              </w:rPr>
            </w:pPr>
            <w:r w:rsidRPr="00EB5A40">
              <w:rPr>
                <w:color w:val="000000"/>
                <w:sz w:val="20"/>
                <w:szCs w:val="20"/>
              </w:rPr>
              <w:t>42</w:t>
            </w:r>
          </w:p>
        </w:tc>
        <w:tc>
          <w:tcPr>
            <w:tcW w:w="1125" w:type="dxa"/>
            <w:tcBorders>
              <w:top w:val="nil"/>
              <w:left w:val="nil"/>
              <w:bottom w:val="single" w:sz="8" w:space="0" w:color="auto"/>
              <w:right w:val="single" w:sz="8" w:space="0" w:color="auto"/>
            </w:tcBorders>
            <w:shd w:val="clear" w:color="auto" w:fill="auto"/>
            <w:noWrap/>
            <w:vAlign w:val="center"/>
            <w:hideMark/>
          </w:tcPr>
          <w:p w14:paraId="155AE3A0" w14:textId="77777777" w:rsidR="00E04D69" w:rsidRPr="00EB5A40" w:rsidRDefault="00E04D69">
            <w:pPr>
              <w:jc w:val="center"/>
              <w:rPr>
                <w:color w:val="000000"/>
                <w:sz w:val="20"/>
                <w:szCs w:val="20"/>
              </w:rPr>
            </w:pPr>
            <w:r w:rsidRPr="00EB5A40">
              <w:rPr>
                <w:color w:val="000000"/>
                <w:sz w:val="20"/>
                <w:szCs w:val="20"/>
              </w:rPr>
              <w:t>35.7%</w:t>
            </w:r>
          </w:p>
        </w:tc>
        <w:tc>
          <w:tcPr>
            <w:tcW w:w="1125" w:type="dxa"/>
            <w:tcBorders>
              <w:top w:val="nil"/>
              <w:left w:val="nil"/>
              <w:bottom w:val="single" w:sz="8" w:space="0" w:color="auto"/>
              <w:right w:val="single" w:sz="8" w:space="0" w:color="auto"/>
            </w:tcBorders>
            <w:shd w:val="clear" w:color="auto" w:fill="auto"/>
            <w:noWrap/>
            <w:vAlign w:val="center"/>
            <w:hideMark/>
          </w:tcPr>
          <w:p w14:paraId="5ADB3A8E" w14:textId="77777777" w:rsidR="00E04D69" w:rsidRPr="00EB5A40" w:rsidRDefault="00E04D69">
            <w:pPr>
              <w:jc w:val="center"/>
              <w:rPr>
                <w:color w:val="000000"/>
                <w:sz w:val="20"/>
                <w:szCs w:val="20"/>
              </w:rPr>
            </w:pPr>
            <w:r w:rsidRPr="00EB5A40">
              <w:rPr>
                <w:color w:val="000000"/>
                <w:sz w:val="20"/>
                <w:szCs w:val="20"/>
              </w:rPr>
              <w:t>57</w:t>
            </w:r>
          </w:p>
        </w:tc>
        <w:tc>
          <w:tcPr>
            <w:tcW w:w="1125" w:type="dxa"/>
            <w:tcBorders>
              <w:top w:val="nil"/>
              <w:left w:val="nil"/>
              <w:bottom w:val="single" w:sz="8" w:space="0" w:color="auto"/>
              <w:right w:val="single" w:sz="8" w:space="0" w:color="auto"/>
            </w:tcBorders>
            <w:shd w:val="clear" w:color="auto" w:fill="auto"/>
            <w:noWrap/>
            <w:vAlign w:val="center"/>
            <w:hideMark/>
          </w:tcPr>
          <w:p w14:paraId="276233BA" w14:textId="77777777" w:rsidR="00E04D69" w:rsidRPr="00EB5A40" w:rsidRDefault="00E04D69">
            <w:pPr>
              <w:jc w:val="center"/>
              <w:rPr>
                <w:color w:val="000000"/>
                <w:sz w:val="20"/>
                <w:szCs w:val="20"/>
              </w:rPr>
            </w:pPr>
            <w:r w:rsidRPr="00EB5A40">
              <w:rPr>
                <w:color w:val="000000"/>
                <w:sz w:val="20"/>
                <w:szCs w:val="20"/>
              </w:rPr>
              <w:t>82.5%</w:t>
            </w:r>
          </w:p>
        </w:tc>
        <w:tc>
          <w:tcPr>
            <w:tcW w:w="1125" w:type="dxa"/>
            <w:tcBorders>
              <w:top w:val="nil"/>
              <w:left w:val="nil"/>
              <w:bottom w:val="single" w:sz="8" w:space="0" w:color="auto"/>
              <w:right w:val="single" w:sz="8" w:space="0" w:color="auto"/>
            </w:tcBorders>
            <w:shd w:val="clear" w:color="auto" w:fill="auto"/>
            <w:noWrap/>
            <w:vAlign w:val="center"/>
            <w:hideMark/>
          </w:tcPr>
          <w:p w14:paraId="7D672DC0" w14:textId="77777777" w:rsidR="00E04D69" w:rsidRPr="00EB5A40" w:rsidRDefault="00E04D69" w:rsidP="00EB5A40">
            <w:pPr>
              <w:jc w:val="center"/>
              <w:rPr>
                <w:rFonts w:cs="Arial"/>
                <w:color w:val="222222"/>
                <w:sz w:val="20"/>
                <w:szCs w:val="20"/>
              </w:rPr>
            </w:pPr>
            <w:r w:rsidRPr="00EB5A40">
              <w:rPr>
                <w:rFonts w:cs="Arial"/>
                <w:color w:val="222222"/>
                <w:sz w:val="20"/>
                <w:szCs w:val="20"/>
              </w:rPr>
              <w:t>104</w:t>
            </w:r>
          </w:p>
        </w:tc>
      </w:tr>
      <w:tr w:rsidR="008845C2" w:rsidRPr="0065370E" w14:paraId="5DF36118" w14:textId="77777777" w:rsidTr="00EB5A40">
        <w:trPr>
          <w:trHeight w:val="288"/>
        </w:trPr>
        <w:tc>
          <w:tcPr>
            <w:tcW w:w="1125" w:type="dxa"/>
            <w:tcBorders>
              <w:top w:val="nil"/>
              <w:left w:val="single" w:sz="8" w:space="0" w:color="auto"/>
              <w:bottom w:val="single" w:sz="8" w:space="0" w:color="auto"/>
              <w:right w:val="single" w:sz="8" w:space="0" w:color="auto"/>
            </w:tcBorders>
            <w:shd w:val="clear" w:color="000000" w:fill="CCFFCC"/>
            <w:noWrap/>
            <w:vAlign w:val="center"/>
            <w:hideMark/>
          </w:tcPr>
          <w:p w14:paraId="5F4DA59D" w14:textId="77777777" w:rsidR="00E04D69" w:rsidRPr="00EB5A40" w:rsidRDefault="00E04D69">
            <w:pPr>
              <w:jc w:val="center"/>
              <w:rPr>
                <w:color w:val="000000"/>
                <w:sz w:val="20"/>
                <w:szCs w:val="20"/>
              </w:rPr>
            </w:pPr>
            <w:r w:rsidRPr="00EB5A40">
              <w:rPr>
                <w:color w:val="000000"/>
                <w:sz w:val="20"/>
                <w:szCs w:val="20"/>
              </w:rPr>
              <w:t>75+</w:t>
            </w:r>
          </w:p>
        </w:tc>
        <w:tc>
          <w:tcPr>
            <w:tcW w:w="1125" w:type="dxa"/>
            <w:tcBorders>
              <w:top w:val="nil"/>
              <w:left w:val="nil"/>
              <w:bottom w:val="single" w:sz="8" w:space="0" w:color="auto"/>
              <w:right w:val="single" w:sz="8" w:space="0" w:color="auto"/>
            </w:tcBorders>
            <w:shd w:val="clear" w:color="auto" w:fill="auto"/>
            <w:noWrap/>
            <w:vAlign w:val="center"/>
            <w:hideMark/>
          </w:tcPr>
          <w:p w14:paraId="40D7631C" w14:textId="77777777" w:rsidR="00E04D69" w:rsidRPr="00EB5A40" w:rsidRDefault="00E04D69">
            <w:pPr>
              <w:jc w:val="center"/>
              <w:rPr>
                <w:color w:val="000000"/>
                <w:sz w:val="20"/>
                <w:szCs w:val="20"/>
              </w:rPr>
            </w:pPr>
            <w:r w:rsidRPr="00EB5A40">
              <w:rPr>
                <w:color w:val="000000"/>
                <w:sz w:val="20"/>
                <w:szCs w:val="20"/>
              </w:rPr>
              <w:t>12</w:t>
            </w:r>
          </w:p>
        </w:tc>
        <w:tc>
          <w:tcPr>
            <w:tcW w:w="1125" w:type="dxa"/>
            <w:tcBorders>
              <w:top w:val="nil"/>
              <w:left w:val="nil"/>
              <w:bottom w:val="single" w:sz="8" w:space="0" w:color="auto"/>
              <w:right w:val="single" w:sz="8" w:space="0" w:color="auto"/>
            </w:tcBorders>
            <w:shd w:val="clear" w:color="auto" w:fill="auto"/>
            <w:noWrap/>
            <w:vAlign w:val="center"/>
            <w:hideMark/>
          </w:tcPr>
          <w:p w14:paraId="2201F24E" w14:textId="77777777" w:rsidR="00E04D69" w:rsidRPr="00EB5A40" w:rsidRDefault="00E04D69">
            <w:pPr>
              <w:jc w:val="center"/>
              <w:rPr>
                <w:color w:val="000000"/>
                <w:sz w:val="20"/>
                <w:szCs w:val="20"/>
              </w:rPr>
            </w:pPr>
            <w:r w:rsidRPr="00EB5A40">
              <w:rPr>
                <w:color w:val="000000"/>
                <w:sz w:val="20"/>
                <w:szCs w:val="20"/>
              </w:rPr>
              <w:t>116.7%</w:t>
            </w:r>
          </w:p>
        </w:tc>
        <w:tc>
          <w:tcPr>
            <w:tcW w:w="1125" w:type="dxa"/>
            <w:tcBorders>
              <w:top w:val="nil"/>
              <w:left w:val="nil"/>
              <w:bottom w:val="single" w:sz="8" w:space="0" w:color="auto"/>
              <w:right w:val="single" w:sz="8" w:space="0" w:color="auto"/>
            </w:tcBorders>
            <w:shd w:val="clear" w:color="auto" w:fill="auto"/>
            <w:noWrap/>
            <w:vAlign w:val="center"/>
            <w:hideMark/>
          </w:tcPr>
          <w:p w14:paraId="3FB9589A" w14:textId="77777777" w:rsidR="00E04D69" w:rsidRPr="00EB5A40" w:rsidRDefault="00E04D69">
            <w:pPr>
              <w:jc w:val="center"/>
              <w:rPr>
                <w:color w:val="000000"/>
                <w:sz w:val="20"/>
                <w:szCs w:val="20"/>
              </w:rPr>
            </w:pPr>
            <w:r w:rsidRPr="00EB5A40">
              <w:rPr>
                <w:color w:val="000000"/>
                <w:sz w:val="20"/>
                <w:szCs w:val="20"/>
              </w:rPr>
              <w:t>26</w:t>
            </w:r>
          </w:p>
        </w:tc>
        <w:tc>
          <w:tcPr>
            <w:tcW w:w="1125" w:type="dxa"/>
            <w:tcBorders>
              <w:top w:val="nil"/>
              <w:left w:val="nil"/>
              <w:bottom w:val="single" w:sz="8" w:space="0" w:color="auto"/>
              <w:right w:val="single" w:sz="8" w:space="0" w:color="auto"/>
            </w:tcBorders>
            <w:shd w:val="clear" w:color="auto" w:fill="auto"/>
            <w:noWrap/>
            <w:vAlign w:val="center"/>
            <w:hideMark/>
          </w:tcPr>
          <w:p w14:paraId="4488E39D" w14:textId="77777777" w:rsidR="00E04D69" w:rsidRPr="00EB5A40" w:rsidRDefault="00E04D69">
            <w:pPr>
              <w:jc w:val="center"/>
              <w:rPr>
                <w:color w:val="000000"/>
                <w:sz w:val="20"/>
                <w:szCs w:val="20"/>
              </w:rPr>
            </w:pPr>
            <w:r w:rsidRPr="00EB5A40">
              <w:rPr>
                <w:color w:val="000000"/>
                <w:sz w:val="20"/>
                <w:szCs w:val="20"/>
              </w:rPr>
              <w:t>34.6%</w:t>
            </w:r>
          </w:p>
        </w:tc>
        <w:tc>
          <w:tcPr>
            <w:tcW w:w="1125" w:type="dxa"/>
            <w:tcBorders>
              <w:top w:val="nil"/>
              <w:left w:val="nil"/>
              <w:bottom w:val="single" w:sz="8" w:space="0" w:color="auto"/>
              <w:right w:val="single" w:sz="8" w:space="0" w:color="auto"/>
            </w:tcBorders>
            <w:shd w:val="clear" w:color="auto" w:fill="auto"/>
            <w:noWrap/>
            <w:vAlign w:val="center"/>
            <w:hideMark/>
          </w:tcPr>
          <w:p w14:paraId="5290C571" w14:textId="77777777" w:rsidR="00E04D69" w:rsidRPr="00EB5A40" w:rsidRDefault="00E04D69">
            <w:pPr>
              <w:jc w:val="center"/>
              <w:rPr>
                <w:color w:val="000000"/>
                <w:sz w:val="20"/>
                <w:szCs w:val="20"/>
              </w:rPr>
            </w:pPr>
            <w:r w:rsidRPr="00EB5A40">
              <w:rPr>
                <w:color w:val="000000"/>
                <w:sz w:val="20"/>
                <w:szCs w:val="20"/>
              </w:rPr>
              <w:t>35</w:t>
            </w:r>
          </w:p>
        </w:tc>
        <w:tc>
          <w:tcPr>
            <w:tcW w:w="1125" w:type="dxa"/>
            <w:tcBorders>
              <w:top w:val="nil"/>
              <w:left w:val="nil"/>
              <w:bottom w:val="single" w:sz="8" w:space="0" w:color="auto"/>
              <w:right w:val="single" w:sz="8" w:space="0" w:color="auto"/>
            </w:tcBorders>
            <w:shd w:val="clear" w:color="auto" w:fill="auto"/>
            <w:noWrap/>
            <w:vAlign w:val="center"/>
            <w:hideMark/>
          </w:tcPr>
          <w:p w14:paraId="16F35DDD" w14:textId="77777777" w:rsidR="00E04D69" w:rsidRPr="00EB5A40" w:rsidRDefault="00E04D69">
            <w:pPr>
              <w:jc w:val="center"/>
              <w:rPr>
                <w:color w:val="000000"/>
                <w:sz w:val="20"/>
                <w:szCs w:val="20"/>
              </w:rPr>
            </w:pPr>
            <w:r w:rsidRPr="00EB5A40">
              <w:rPr>
                <w:color w:val="000000"/>
                <w:sz w:val="20"/>
                <w:szCs w:val="20"/>
              </w:rPr>
              <w:t>28.6%</w:t>
            </w:r>
          </w:p>
        </w:tc>
        <w:tc>
          <w:tcPr>
            <w:tcW w:w="1125" w:type="dxa"/>
            <w:tcBorders>
              <w:top w:val="nil"/>
              <w:left w:val="nil"/>
              <w:bottom w:val="single" w:sz="8" w:space="0" w:color="auto"/>
              <w:right w:val="single" w:sz="8" w:space="0" w:color="auto"/>
            </w:tcBorders>
            <w:shd w:val="clear" w:color="auto" w:fill="auto"/>
            <w:noWrap/>
            <w:vAlign w:val="center"/>
            <w:hideMark/>
          </w:tcPr>
          <w:p w14:paraId="1164AAA6" w14:textId="77777777" w:rsidR="00E04D69" w:rsidRPr="00EB5A40" w:rsidRDefault="00E04D69" w:rsidP="00EB5A40">
            <w:pPr>
              <w:jc w:val="center"/>
              <w:rPr>
                <w:rFonts w:cs="Arial"/>
                <w:color w:val="222222"/>
                <w:sz w:val="20"/>
                <w:szCs w:val="20"/>
              </w:rPr>
            </w:pPr>
            <w:r w:rsidRPr="00EB5A40">
              <w:rPr>
                <w:rFonts w:cs="Arial"/>
                <w:color w:val="222222"/>
                <w:sz w:val="20"/>
                <w:szCs w:val="20"/>
              </w:rPr>
              <w:t>45</w:t>
            </w:r>
          </w:p>
        </w:tc>
      </w:tr>
      <w:tr w:rsidR="008845C2" w:rsidRPr="0065370E" w14:paraId="2530DC64" w14:textId="77777777" w:rsidTr="00EB5A40">
        <w:trPr>
          <w:trHeight w:val="288"/>
        </w:trPr>
        <w:tc>
          <w:tcPr>
            <w:tcW w:w="1125" w:type="dxa"/>
            <w:tcBorders>
              <w:top w:val="nil"/>
              <w:left w:val="single" w:sz="8" w:space="0" w:color="auto"/>
              <w:bottom w:val="single" w:sz="8" w:space="0" w:color="auto"/>
              <w:right w:val="single" w:sz="8" w:space="0" w:color="auto"/>
            </w:tcBorders>
            <w:shd w:val="clear" w:color="000000" w:fill="CCFFCC"/>
            <w:noWrap/>
            <w:vAlign w:val="center"/>
            <w:hideMark/>
          </w:tcPr>
          <w:p w14:paraId="5CE0B7CC" w14:textId="77777777" w:rsidR="00E04D69" w:rsidRPr="00EB5A40" w:rsidRDefault="00E04D69">
            <w:pPr>
              <w:jc w:val="center"/>
              <w:rPr>
                <w:color w:val="000000"/>
                <w:sz w:val="20"/>
                <w:szCs w:val="20"/>
              </w:rPr>
            </w:pPr>
            <w:r w:rsidRPr="00EB5A40">
              <w:rPr>
                <w:color w:val="000000"/>
                <w:sz w:val="20"/>
                <w:szCs w:val="20"/>
              </w:rPr>
              <w:t>Median Age</w:t>
            </w:r>
          </w:p>
        </w:tc>
        <w:tc>
          <w:tcPr>
            <w:tcW w:w="1125" w:type="dxa"/>
            <w:tcBorders>
              <w:top w:val="nil"/>
              <w:left w:val="nil"/>
              <w:bottom w:val="single" w:sz="8" w:space="0" w:color="auto"/>
              <w:right w:val="single" w:sz="8" w:space="0" w:color="auto"/>
            </w:tcBorders>
            <w:shd w:val="clear" w:color="auto" w:fill="auto"/>
            <w:noWrap/>
            <w:vAlign w:val="center"/>
            <w:hideMark/>
          </w:tcPr>
          <w:p w14:paraId="33F80465" w14:textId="77777777" w:rsidR="00E04D69" w:rsidRPr="00EB5A40" w:rsidRDefault="00E04D69">
            <w:pPr>
              <w:jc w:val="center"/>
              <w:rPr>
                <w:color w:val="000000"/>
                <w:sz w:val="20"/>
                <w:szCs w:val="20"/>
              </w:rPr>
            </w:pPr>
            <w:r w:rsidRPr="00EB5A40">
              <w:rPr>
                <w:color w:val="000000"/>
                <w:sz w:val="20"/>
                <w:szCs w:val="20"/>
              </w:rPr>
              <w:t>34.1</w:t>
            </w:r>
          </w:p>
        </w:tc>
        <w:tc>
          <w:tcPr>
            <w:tcW w:w="1125" w:type="dxa"/>
            <w:tcBorders>
              <w:top w:val="nil"/>
              <w:left w:val="nil"/>
              <w:bottom w:val="single" w:sz="8" w:space="0" w:color="auto"/>
              <w:right w:val="single" w:sz="8" w:space="0" w:color="auto"/>
            </w:tcBorders>
            <w:shd w:val="clear" w:color="auto" w:fill="auto"/>
            <w:noWrap/>
            <w:vAlign w:val="center"/>
            <w:hideMark/>
          </w:tcPr>
          <w:p w14:paraId="4CCD7720" w14:textId="77777777" w:rsidR="00E04D69" w:rsidRPr="00EB5A40" w:rsidRDefault="00E04D69">
            <w:pPr>
              <w:jc w:val="center"/>
              <w:rPr>
                <w:color w:val="000000"/>
                <w:sz w:val="20"/>
                <w:szCs w:val="20"/>
              </w:rPr>
            </w:pPr>
            <w:r w:rsidRPr="00EB5A40">
              <w:rPr>
                <w:color w:val="000000"/>
                <w:sz w:val="20"/>
                <w:szCs w:val="20"/>
              </w:rPr>
              <w:t>9.7%</w:t>
            </w:r>
          </w:p>
        </w:tc>
        <w:tc>
          <w:tcPr>
            <w:tcW w:w="1125" w:type="dxa"/>
            <w:tcBorders>
              <w:top w:val="nil"/>
              <w:left w:val="nil"/>
              <w:bottom w:val="single" w:sz="8" w:space="0" w:color="auto"/>
              <w:right w:val="single" w:sz="8" w:space="0" w:color="auto"/>
            </w:tcBorders>
            <w:shd w:val="clear" w:color="auto" w:fill="auto"/>
            <w:noWrap/>
            <w:vAlign w:val="center"/>
            <w:hideMark/>
          </w:tcPr>
          <w:p w14:paraId="015FD7B4" w14:textId="77777777" w:rsidR="00E04D69" w:rsidRPr="00EB5A40" w:rsidRDefault="00E04D69">
            <w:pPr>
              <w:jc w:val="center"/>
              <w:rPr>
                <w:color w:val="000000"/>
                <w:sz w:val="20"/>
                <w:szCs w:val="20"/>
              </w:rPr>
            </w:pPr>
            <w:r w:rsidRPr="00EB5A40">
              <w:rPr>
                <w:color w:val="000000"/>
                <w:sz w:val="20"/>
                <w:szCs w:val="20"/>
              </w:rPr>
              <w:t>37.4</w:t>
            </w:r>
          </w:p>
        </w:tc>
        <w:tc>
          <w:tcPr>
            <w:tcW w:w="1125" w:type="dxa"/>
            <w:tcBorders>
              <w:top w:val="nil"/>
              <w:left w:val="nil"/>
              <w:bottom w:val="single" w:sz="8" w:space="0" w:color="auto"/>
              <w:right w:val="single" w:sz="8" w:space="0" w:color="auto"/>
            </w:tcBorders>
            <w:shd w:val="clear" w:color="auto" w:fill="auto"/>
            <w:noWrap/>
            <w:vAlign w:val="center"/>
            <w:hideMark/>
          </w:tcPr>
          <w:p w14:paraId="54E2B608" w14:textId="77777777" w:rsidR="00E04D69" w:rsidRPr="00EB5A40" w:rsidRDefault="00E04D69">
            <w:pPr>
              <w:jc w:val="center"/>
              <w:rPr>
                <w:color w:val="000000"/>
                <w:sz w:val="20"/>
                <w:szCs w:val="20"/>
              </w:rPr>
            </w:pPr>
            <w:r w:rsidRPr="00EB5A40">
              <w:rPr>
                <w:color w:val="000000"/>
                <w:sz w:val="20"/>
                <w:szCs w:val="20"/>
              </w:rPr>
              <w:t>9.9%</w:t>
            </w:r>
          </w:p>
        </w:tc>
        <w:tc>
          <w:tcPr>
            <w:tcW w:w="1125" w:type="dxa"/>
            <w:tcBorders>
              <w:top w:val="nil"/>
              <w:left w:val="nil"/>
              <w:bottom w:val="single" w:sz="8" w:space="0" w:color="auto"/>
              <w:right w:val="single" w:sz="8" w:space="0" w:color="auto"/>
            </w:tcBorders>
            <w:shd w:val="clear" w:color="auto" w:fill="auto"/>
            <w:noWrap/>
            <w:vAlign w:val="center"/>
            <w:hideMark/>
          </w:tcPr>
          <w:p w14:paraId="186E401B" w14:textId="77777777" w:rsidR="00E04D69" w:rsidRPr="00EB5A40" w:rsidRDefault="00E04D69">
            <w:pPr>
              <w:jc w:val="center"/>
              <w:rPr>
                <w:color w:val="000000"/>
                <w:sz w:val="20"/>
                <w:szCs w:val="20"/>
              </w:rPr>
            </w:pPr>
            <w:r w:rsidRPr="00EB5A40">
              <w:rPr>
                <w:color w:val="000000"/>
                <w:sz w:val="20"/>
                <w:szCs w:val="20"/>
              </w:rPr>
              <w:t>41.1</w:t>
            </w:r>
          </w:p>
        </w:tc>
        <w:tc>
          <w:tcPr>
            <w:tcW w:w="1125" w:type="dxa"/>
            <w:tcBorders>
              <w:top w:val="nil"/>
              <w:left w:val="nil"/>
              <w:bottom w:val="single" w:sz="8" w:space="0" w:color="auto"/>
              <w:right w:val="single" w:sz="8" w:space="0" w:color="auto"/>
            </w:tcBorders>
            <w:shd w:val="clear" w:color="auto" w:fill="auto"/>
            <w:noWrap/>
            <w:vAlign w:val="center"/>
            <w:hideMark/>
          </w:tcPr>
          <w:p w14:paraId="589DF9AA" w14:textId="77777777" w:rsidR="00E04D69" w:rsidRPr="00EB5A40" w:rsidRDefault="00E04D69">
            <w:pPr>
              <w:jc w:val="center"/>
              <w:rPr>
                <w:color w:val="000000"/>
                <w:sz w:val="20"/>
                <w:szCs w:val="20"/>
              </w:rPr>
            </w:pPr>
            <w:r w:rsidRPr="00EB5A40">
              <w:rPr>
                <w:color w:val="000000"/>
                <w:sz w:val="20"/>
                <w:szCs w:val="20"/>
              </w:rPr>
              <w:t>12.2%</w:t>
            </w:r>
          </w:p>
        </w:tc>
        <w:tc>
          <w:tcPr>
            <w:tcW w:w="1125" w:type="dxa"/>
            <w:tcBorders>
              <w:top w:val="nil"/>
              <w:left w:val="nil"/>
              <w:bottom w:val="single" w:sz="8" w:space="0" w:color="auto"/>
              <w:right w:val="single" w:sz="8" w:space="0" w:color="auto"/>
            </w:tcBorders>
            <w:shd w:val="clear" w:color="auto" w:fill="auto"/>
            <w:noWrap/>
            <w:vAlign w:val="center"/>
            <w:hideMark/>
          </w:tcPr>
          <w:p w14:paraId="3F7FCEE4" w14:textId="77777777" w:rsidR="00E04D69" w:rsidRPr="00EB5A40" w:rsidRDefault="00E04D69" w:rsidP="00EB5A40">
            <w:pPr>
              <w:jc w:val="center"/>
              <w:rPr>
                <w:rFonts w:cs="Arial"/>
                <w:color w:val="222222"/>
                <w:sz w:val="20"/>
                <w:szCs w:val="20"/>
              </w:rPr>
            </w:pPr>
            <w:r w:rsidRPr="00EB5A40">
              <w:rPr>
                <w:rFonts w:cs="Arial"/>
                <w:color w:val="222222"/>
                <w:sz w:val="20"/>
                <w:szCs w:val="20"/>
              </w:rPr>
              <w:t>46.1</w:t>
            </w:r>
          </w:p>
        </w:tc>
      </w:tr>
    </w:tbl>
    <w:p w14:paraId="6B85D9E8" w14:textId="4DD581BD" w:rsidR="00D87B3B" w:rsidRDefault="00D87B3B" w:rsidP="005C2AE0">
      <w:pPr>
        <w:widowControl w:val="0"/>
        <w:spacing w:after="120"/>
      </w:pPr>
    </w:p>
    <w:p w14:paraId="10CFCCEF" w14:textId="77777777" w:rsidR="00E65FA6" w:rsidRDefault="00E65FA6" w:rsidP="00E65FA6">
      <w:pPr>
        <w:widowControl w:val="0"/>
        <w:spacing w:after="120"/>
      </w:pPr>
      <w:r>
        <w:t>Over the past 20 years the age distribution of Clifton’s population shifted represented by one statistic: the population is aging.  The median age increased from 29.2 in 1980 to 41.4 years in 2010.  Despite a steady increase through 2010 (as predicted) mid-term number strongly indicate an exodus from the town in the past 5 years particularly evident from the loss in family age groups.  Alternately, the elder population is dramatically increasing.</w:t>
      </w:r>
    </w:p>
    <w:p w14:paraId="0EF5B0F0" w14:textId="77777777" w:rsidR="00E65FA6" w:rsidRDefault="00E65FA6" w:rsidP="00E65FA6">
      <w:pPr>
        <w:widowControl w:val="0"/>
        <w:spacing w:after="120"/>
      </w:pPr>
      <w:r>
        <w:tab/>
        <w:t>In order to have a sufficient and economically viable entry-level work force, it is important to maintain and train a young adult population (20 to 24).  The young adult population in Clifton increased by 15.2% from 2000 to 2010 yet dramatically decreased after 2010.</w:t>
      </w:r>
    </w:p>
    <w:p w14:paraId="12DF0502" w14:textId="77777777" w:rsidR="00E65FA6" w:rsidRDefault="00E65FA6" w:rsidP="005C2AE0">
      <w:pPr>
        <w:widowControl w:val="0"/>
        <w:spacing w:after="120"/>
      </w:pPr>
    </w:p>
    <w:p w14:paraId="3670FBBE" w14:textId="60561BC5" w:rsidR="00721BA0" w:rsidRDefault="008845C2" w:rsidP="005C2AE0">
      <w:pPr>
        <w:widowControl w:val="0"/>
        <w:spacing w:after="120"/>
      </w:pPr>
      <w:r>
        <w:rPr>
          <w:noProof/>
        </w:rPr>
        <w:drawing>
          <wp:inline distT="0" distB="0" distL="0" distR="0" wp14:anchorId="71479D71" wp14:editId="203D0E25">
            <wp:extent cx="5715000" cy="3431540"/>
            <wp:effectExtent l="0" t="0" r="25400"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3F2BC6" w14:textId="51F6037B" w:rsidR="00467CB7" w:rsidRDefault="00CB6F38" w:rsidP="00E65FA6">
      <w:pPr>
        <w:widowControl w:val="0"/>
        <w:spacing w:after="120"/>
      </w:pPr>
      <w:r>
        <w:tab/>
      </w:r>
    </w:p>
    <w:p w14:paraId="017F1809" w14:textId="424DACC5" w:rsidR="00467CB7" w:rsidRDefault="00CB6F38" w:rsidP="00467CB7">
      <w:pPr>
        <w:widowControl w:val="0"/>
        <w:spacing w:after="120"/>
      </w:pPr>
      <w:r>
        <w:tab/>
      </w:r>
      <w:r w:rsidR="00467CB7">
        <w:t xml:space="preserve">The 25 to 44 years old population brings more than dollars to economy. Generally, this segment of the population participates actively in the workforce, purchases homes, start businesses and have children enrolled in school. Clifton’s 25 to 44 years old population has decreased by 12.0% from 2000 to 2010. </w:t>
      </w:r>
      <w:r>
        <w:t xml:space="preserve"> </w:t>
      </w:r>
      <w:r w:rsidR="00467CB7">
        <w:t>The State projects that Penobscot County will see a change in the number of residents aged 25 to 44 between 2010 and 2019 of -7.4%, and a change of 15.1% between 2019 and 2029 (for the entire state of Maine, the projected changes are -0.7% and -1.5%, respectively).</w:t>
      </w:r>
    </w:p>
    <w:p w14:paraId="1A17BA4B" w14:textId="53DC07D7" w:rsidR="00467CB7" w:rsidRDefault="00CB6F38" w:rsidP="00467CB7">
      <w:pPr>
        <w:widowControl w:val="0"/>
        <w:spacing w:after="120"/>
      </w:pPr>
      <w:r>
        <w:tab/>
      </w:r>
      <w:r w:rsidR="00467CB7">
        <w:t xml:space="preserve">Peak earning years for workers happens between the ages of 45 and 54, making it very important economically for a community to maintain that population segment. </w:t>
      </w:r>
      <w:r>
        <w:t xml:space="preserve"> </w:t>
      </w:r>
      <w:r w:rsidR="00467CB7">
        <w:t xml:space="preserve">Clifton’s 45 to 54 years population nearly doubled between 2000 and 2010, increasing by 98.0% from 1990 to 2000. </w:t>
      </w:r>
      <w:r w:rsidR="004F533B">
        <w:t xml:space="preserve"> Looking ahead, based on low numbers younger than 45, it is clear, the population is not sustainable.</w:t>
      </w:r>
    </w:p>
    <w:p w14:paraId="2B95930F" w14:textId="06B30F15" w:rsidR="00467CB7" w:rsidRDefault="004F533B" w:rsidP="00467CB7">
      <w:pPr>
        <w:widowControl w:val="0"/>
        <w:spacing w:after="120"/>
      </w:pPr>
      <w:r>
        <w:tab/>
      </w:r>
      <w:r w:rsidR="00467CB7">
        <w:t xml:space="preserve">Maine has one of the oldest populations in the United States. </w:t>
      </w:r>
      <w:r>
        <w:t xml:space="preserve"> </w:t>
      </w:r>
      <w:r w:rsidR="00467CB7">
        <w:t xml:space="preserve">The senior population (65+) in Maine as a whole has grown rapidly and is projected to continue increasing, causing communities to shift special services and public support to meet the needs of the elderly, which is quite challenging in rural communities where services are not always readily available. Clifton’s 65+ population increased by 35.3% from 2000 to 2010 and is likely to continue increasing though the year 2020. </w:t>
      </w:r>
      <w:r>
        <w:t xml:space="preserve"> </w:t>
      </w:r>
      <w:r w:rsidR="00467CB7">
        <w:t>In Penobscot County the number of people aged 65 and older is expected to rise 26.8% between 2010 and 2019, and 37.0% between 2019 and 2029 according to state population projections (for the entire state of Maine, the projected changes are 31.2% and 35.3%, respectively).</w:t>
      </w:r>
    </w:p>
    <w:p w14:paraId="6FB55959" w14:textId="5ADF207B" w:rsidR="004F533B" w:rsidRPr="00EB5A40" w:rsidRDefault="004F533B" w:rsidP="00467CB7">
      <w:pPr>
        <w:widowControl w:val="0"/>
        <w:spacing w:after="120"/>
        <w:rPr>
          <w:b/>
          <w:i/>
        </w:rPr>
      </w:pPr>
      <w:r>
        <w:rPr>
          <w:b/>
          <w:i/>
        </w:rPr>
        <w:tab/>
      </w:r>
      <w:r w:rsidRPr="00EB5A40">
        <w:rPr>
          <w:b/>
          <w:i/>
        </w:rPr>
        <w:t>Population and Housing</w:t>
      </w:r>
    </w:p>
    <w:tbl>
      <w:tblPr>
        <w:tblpPr w:leftFromText="180" w:rightFromText="180" w:vertAnchor="text" w:horzAnchor="page" w:tblpX="5149" w:tblpY="919"/>
        <w:tblOverlap w:val="never"/>
        <w:tblW w:w="5662" w:type="dxa"/>
        <w:tblLook w:val="04A0" w:firstRow="1" w:lastRow="0" w:firstColumn="1" w:lastColumn="0" w:noHBand="0" w:noVBand="1"/>
      </w:tblPr>
      <w:tblGrid>
        <w:gridCol w:w="1902"/>
        <w:gridCol w:w="940"/>
        <w:gridCol w:w="940"/>
        <w:gridCol w:w="940"/>
        <w:gridCol w:w="940"/>
      </w:tblGrid>
      <w:tr w:rsidR="00E406DE" w:rsidRPr="00F065A5" w14:paraId="09F3B872" w14:textId="77777777" w:rsidTr="00E406DE">
        <w:trPr>
          <w:trHeight w:val="320"/>
        </w:trPr>
        <w:tc>
          <w:tcPr>
            <w:tcW w:w="5662" w:type="dxa"/>
            <w:gridSpan w:val="5"/>
            <w:tcBorders>
              <w:top w:val="single" w:sz="8" w:space="0" w:color="000000"/>
              <w:left w:val="single" w:sz="8" w:space="0" w:color="000000"/>
              <w:bottom w:val="single" w:sz="8" w:space="0" w:color="000000"/>
              <w:right w:val="single" w:sz="8" w:space="0" w:color="000000"/>
            </w:tcBorders>
            <w:shd w:val="clear" w:color="auto" w:fill="CCFFCC"/>
            <w:noWrap/>
            <w:vAlign w:val="center"/>
            <w:hideMark/>
          </w:tcPr>
          <w:p w14:paraId="24BD3700" w14:textId="77777777" w:rsidR="00E406DE" w:rsidRPr="00EB5A40" w:rsidRDefault="00E406DE" w:rsidP="00EB5A40">
            <w:pPr>
              <w:ind w:firstLineChars="200" w:firstLine="402"/>
              <w:rPr>
                <w:rFonts w:ascii="Calibri" w:hAnsi="Calibri"/>
                <w:b/>
                <w:bCs/>
                <w:color w:val="000000"/>
                <w:sz w:val="20"/>
                <w:szCs w:val="20"/>
              </w:rPr>
            </w:pPr>
            <w:r w:rsidRPr="00EB5A40">
              <w:rPr>
                <w:rFonts w:ascii="Calibri" w:hAnsi="Calibri"/>
                <w:b/>
                <w:bCs/>
                <w:color w:val="000000"/>
                <w:sz w:val="20"/>
                <w:szCs w:val="20"/>
              </w:rPr>
              <w:t>NUMBER OF HOUSEHOLDS AND RATE OF CHANGE</w:t>
            </w:r>
          </w:p>
        </w:tc>
      </w:tr>
      <w:tr w:rsidR="00E406DE" w:rsidRPr="00F065A5" w14:paraId="718C06B3" w14:textId="77777777" w:rsidTr="00EB5A40">
        <w:trPr>
          <w:trHeight w:val="300"/>
        </w:trPr>
        <w:tc>
          <w:tcPr>
            <w:tcW w:w="1902" w:type="dxa"/>
            <w:tcBorders>
              <w:top w:val="nil"/>
              <w:left w:val="single" w:sz="8" w:space="0" w:color="000000"/>
              <w:bottom w:val="single" w:sz="8" w:space="0" w:color="000000"/>
              <w:right w:val="single" w:sz="8" w:space="0" w:color="000000"/>
            </w:tcBorders>
            <w:shd w:val="clear" w:color="auto" w:fill="CCFFCC"/>
            <w:noWrap/>
            <w:vAlign w:val="center"/>
            <w:hideMark/>
          </w:tcPr>
          <w:p w14:paraId="65F79ECA" w14:textId="77777777" w:rsidR="00E406DE" w:rsidRPr="00EB5A40" w:rsidRDefault="00E406DE" w:rsidP="00E406DE">
            <w:pPr>
              <w:rPr>
                <w:rFonts w:ascii="Calibri" w:hAnsi="Calibri"/>
                <w:color w:val="000000"/>
                <w:sz w:val="20"/>
                <w:szCs w:val="20"/>
              </w:rPr>
            </w:pPr>
            <w:r w:rsidRPr="00EB5A40">
              <w:rPr>
                <w:rFonts w:ascii="Calibri" w:hAnsi="Calibri"/>
                <w:color w:val="000000"/>
                <w:sz w:val="20"/>
                <w:szCs w:val="20"/>
              </w:rPr>
              <w:t> </w:t>
            </w:r>
          </w:p>
        </w:tc>
        <w:tc>
          <w:tcPr>
            <w:tcW w:w="940" w:type="dxa"/>
            <w:tcBorders>
              <w:top w:val="nil"/>
              <w:left w:val="nil"/>
              <w:bottom w:val="single" w:sz="8" w:space="0" w:color="000000"/>
              <w:right w:val="single" w:sz="8" w:space="0" w:color="000000"/>
            </w:tcBorders>
            <w:shd w:val="clear" w:color="auto" w:fill="CCFFCC"/>
            <w:noWrap/>
            <w:vAlign w:val="center"/>
            <w:hideMark/>
          </w:tcPr>
          <w:p w14:paraId="6793A01E" w14:textId="77777777" w:rsidR="00E406DE" w:rsidRPr="00EB5A40" w:rsidRDefault="00E406DE" w:rsidP="00E406DE">
            <w:pPr>
              <w:jc w:val="center"/>
              <w:rPr>
                <w:rFonts w:ascii="Calibri" w:hAnsi="Calibri"/>
                <w:b/>
                <w:bCs/>
                <w:color w:val="000000"/>
                <w:sz w:val="20"/>
                <w:szCs w:val="20"/>
              </w:rPr>
            </w:pPr>
            <w:r w:rsidRPr="00EB5A40">
              <w:rPr>
                <w:rFonts w:ascii="Calibri" w:hAnsi="Calibri"/>
                <w:b/>
                <w:bCs/>
                <w:color w:val="000000"/>
                <w:sz w:val="20"/>
                <w:szCs w:val="20"/>
              </w:rPr>
              <w:t>1980</w:t>
            </w:r>
          </w:p>
        </w:tc>
        <w:tc>
          <w:tcPr>
            <w:tcW w:w="940" w:type="dxa"/>
            <w:tcBorders>
              <w:top w:val="nil"/>
              <w:left w:val="nil"/>
              <w:bottom w:val="single" w:sz="8" w:space="0" w:color="000000"/>
              <w:right w:val="single" w:sz="8" w:space="0" w:color="000000"/>
            </w:tcBorders>
            <w:shd w:val="clear" w:color="auto" w:fill="CCFFCC"/>
            <w:noWrap/>
            <w:vAlign w:val="center"/>
            <w:hideMark/>
          </w:tcPr>
          <w:p w14:paraId="25729EF4" w14:textId="77777777" w:rsidR="00E406DE" w:rsidRPr="00EB5A40" w:rsidRDefault="00E406DE" w:rsidP="00E406DE">
            <w:pPr>
              <w:jc w:val="center"/>
              <w:rPr>
                <w:rFonts w:ascii="Calibri" w:hAnsi="Calibri"/>
                <w:b/>
                <w:bCs/>
                <w:color w:val="000000"/>
                <w:sz w:val="20"/>
                <w:szCs w:val="20"/>
              </w:rPr>
            </w:pPr>
            <w:r w:rsidRPr="00EB5A40">
              <w:rPr>
                <w:rFonts w:ascii="Calibri" w:hAnsi="Calibri"/>
                <w:b/>
                <w:bCs/>
                <w:color w:val="000000"/>
                <w:sz w:val="20"/>
                <w:szCs w:val="20"/>
              </w:rPr>
              <w:t>1990</w:t>
            </w:r>
          </w:p>
        </w:tc>
        <w:tc>
          <w:tcPr>
            <w:tcW w:w="940" w:type="dxa"/>
            <w:tcBorders>
              <w:top w:val="nil"/>
              <w:left w:val="nil"/>
              <w:bottom w:val="single" w:sz="8" w:space="0" w:color="000000"/>
              <w:right w:val="single" w:sz="8" w:space="0" w:color="000000"/>
            </w:tcBorders>
            <w:shd w:val="clear" w:color="auto" w:fill="CCFFCC"/>
            <w:noWrap/>
            <w:vAlign w:val="center"/>
            <w:hideMark/>
          </w:tcPr>
          <w:p w14:paraId="3948BA60" w14:textId="77777777" w:rsidR="00E406DE" w:rsidRPr="00EB5A40" w:rsidRDefault="00E406DE" w:rsidP="00E406DE">
            <w:pPr>
              <w:jc w:val="center"/>
              <w:rPr>
                <w:rFonts w:ascii="Calibri" w:hAnsi="Calibri"/>
                <w:b/>
                <w:bCs/>
                <w:color w:val="000000"/>
                <w:sz w:val="20"/>
                <w:szCs w:val="20"/>
              </w:rPr>
            </w:pPr>
            <w:r w:rsidRPr="00EB5A40">
              <w:rPr>
                <w:rFonts w:ascii="Calibri" w:hAnsi="Calibri"/>
                <w:b/>
                <w:bCs/>
                <w:color w:val="000000"/>
                <w:sz w:val="20"/>
                <w:szCs w:val="20"/>
              </w:rPr>
              <w:t>2000</w:t>
            </w:r>
          </w:p>
        </w:tc>
        <w:tc>
          <w:tcPr>
            <w:tcW w:w="940" w:type="dxa"/>
            <w:tcBorders>
              <w:top w:val="nil"/>
              <w:left w:val="nil"/>
              <w:bottom w:val="single" w:sz="8" w:space="0" w:color="000000"/>
              <w:right w:val="single" w:sz="8" w:space="0" w:color="000000"/>
            </w:tcBorders>
            <w:shd w:val="clear" w:color="auto" w:fill="CCFFCC"/>
            <w:noWrap/>
            <w:vAlign w:val="center"/>
            <w:hideMark/>
          </w:tcPr>
          <w:p w14:paraId="3622D682" w14:textId="77777777" w:rsidR="00E406DE" w:rsidRPr="00EB5A40" w:rsidRDefault="00E406DE" w:rsidP="00E406DE">
            <w:pPr>
              <w:jc w:val="center"/>
              <w:rPr>
                <w:rFonts w:ascii="Calibri" w:hAnsi="Calibri"/>
                <w:b/>
                <w:bCs/>
                <w:color w:val="000000"/>
                <w:sz w:val="20"/>
                <w:szCs w:val="20"/>
              </w:rPr>
            </w:pPr>
            <w:r w:rsidRPr="00EB5A40">
              <w:rPr>
                <w:rFonts w:ascii="Calibri" w:hAnsi="Calibri"/>
                <w:b/>
                <w:bCs/>
                <w:color w:val="000000"/>
                <w:sz w:val="20"/>
                <w:szCs w:val="20"/>
              </w:rPr>
              <w:t>2010</w:t>
            </w:r>
          </w:p>
        </w:tc>
      </w:tr>
      <w:tr w:rsidR="00E406DE" w:rsidRPr="00F065A5" w14:paraId="3814B2CA" w14:textId="77777777" w:rsidTr="00EB5A40">
        <w:trPr>
          <w:trHeight w:val="300"/>
        </w:trPr>
        <w:tc>
          <w:tcPr>
            <w:tcW w:w="1902" w:type="dxa"/>
            <w:tcBorders>
              <w:top w:val="single" w:sz="8" w:space="0" w:color="000000"/>
              <w:left w:val="single" w:sz="8" w:space="0" w:color="000000"/>
              <w:bottom w:val="single" w:sz="8" w:space="0" w:color="000000"/>
              <w:right w:val="single" w:sz="8" w:space="0" w:color="000000"/>
            </w:tcBorders>
            <w:shd w:val="clear" w:color="auto" w:fill="CCFFCC"/>
            <w:noWrap/>
            <w:vAlign w:val="center"/>
            <w:hideMark/>
          </w:tcPr>
          <w:p w14:paraId="23E9FA30" w14:textId="77777777" w:rsidR="00E406DE" w:rsidRPr="00EB5A40" w:rsidRDefault="00E406DE" w:rsidP="00EB5A40">
            <w:pPr>
              <w:rPr>
                <w:rFonts w:ascii="Calibri" w:hAnsi="Calibri"/>
                <w:b/>
                <w:bCs/>
                <w:color w:val="000000"/>
                <w:sz w:val="20"/>
                <w:szCs w:val="20"/>
              </w:rPr>
            </w:pPr>
            <w:r w:rsidRPr="00EB5A40">
              <w:rPr>
                <w:rFonts w:ascii="Calibri" w:hAnsi="Calibri"/>
                <w:b/>
                <w:bCs/>
                <w:color w:val="000000"/>
                <w:sz w:val="20"/>
                <w:szCs w:val="20"/>
              </w:rPr>
              <w:t>Clifton</w:t>
            </w:r>
          </w:p>
        </w:tc>
        <w:tc>
          <w:tcPr>
            <w:tcW w:w="940" w:type="dxa"/>
            <w:tcBorders>
              <w:top w:val="nil"/>
              <w:left w:val="nil"/>
              <w:bottom w:val="single" w:sz="8" w:space="0" w:color="000000"/>
              <w:right w:val="single" w:sz="8" w:space="0" w:color="000000"/>
            </w:tcBorders>
            <w:shd w:val="clear" w:color="auto" w:fill="auto"/>
            <w:noWrap/>
            <w:vAlign w:val="center"/>
            <w:hideMark/>
          </w:tcPr>
          <w:p w14:paraId="622FD256"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165</w:t>
            </w:r>
          </w:p>
        </w:tc>
        <w:tc>
          <w:tcPr>
            <w:tcW w:w="940" w:type="dxa"/>
            <w:tcBorders>
              <w:top w:val="nil"/>
              <w:left w:val="nil"/>
              <w:bottom w:val="single" w:sz="8" w:space="0" w:color="000000"/>
              <w:right w:val="single" w:sz="8" w:space="0" w:color="000000"/>
            </w:tcBorders>
            <w:shd w:val="clear" w:color="auto" w:fill="auto"/>
            <w:noWrap/>
            <w:vAlign w:val="center"/>
            <w:hideMark/>
          </w:tcPr>
          <w:p w14:paraId="5FA51158"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222</w:t>
            </w:r>
          </w:p>
        </w:tc>
        <w:tc>
          <w:tcPr>
            <w:tcW w:w="940" w:type="dxa"/>
            <w:tcBorders>
              <w:top w:val="nil"/>
              <w:left w:val="nil"/>
              <w:bottom w:val="single" w:sz="8" w:space="0" w:color="000000"/>
              <w:right w:val="single" w:sz="8" w:space="0" w:color="000000"/>
            </w:tcBorders>
            <w:shd w:val="clear" w:color="auto" w:fill="auto"/>
            <w:noWrap/>
            <w:vAlign w:val="center"/>
            <w:hideMark/>
          </w:tcPr>
          <w:p w14:paraId="5A975095"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303</w:t>
            </w:r>
          </w:p>
        </w:tc>
        <w:tc>
          <w:tcPr>
            <w:tcW w:w="940" w:type="dxa"/>
            <w:tcBorders>
              <w:top w:val="nil"/>
              <w:left w:val="nil"/>
              <w:bottom w:val="single" w:sz="8" w:space="0" w:color="000000"/>
              <w:right w:val="single" w:sz="8" w:space="0" w:color="000000"/>
            </w:tcBorders>
            <w:shd w:val="clear" w:color="auto" w:fill="auto"/>
            <w:noWrap/>
            <w:vAlign w:val="center"/>
            <w:hideMark/>
          </w:tcPr>
          <w:p w14:paraId="79FB4861"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346</w:t>
            </w:r>
          </w:p>
        </w:tc>
      </w:tr>
      <w:tr w:rsidR="00E406DE" w:rsidRPr="00F065A5" w14:paraId="0FDB5BDC" w14:textId="77777777" w:rsidTr="00EB5A40">
        <w:trPr>
          <w:trHeight w:val="300"/>
        </w:trPr>
        <w:tc>
          <w:tcPr>
            <w:tcW w:w="1902" w:type="dxa"/>
            <w:tcBorders>
              <w:top w:val="single" w:sz="8" w:space="0" w:color="000000"/>
              <w:left w:val="single" w:sz="8" w:space="0" w:color="000000"/>
              <w:bottom w:val="single" w:sz="8" w:space="0" w:color="000000"/>
              <w:right w:val="single" w:sz="8" w:space="0" w:color="000000"/>
            </w:tcBorders>
            <w:shd w:val="clear" w:color="auto" w:fill="CCFFCC"/>
            <w:noWrap/>
            <w:vAlign w:val="center"/>
            <w:hideMark/>
          </w:tcPr>
          <w:p w14:paraId="0D1BCB79" w14:textId="77777777" w:rsidR="00E406DE" w:rsidRPr="00EB5A40" w:rsidRDefault="00E406DE" w:rsidP="00EB5A40">
            <w:pPr>
              <w:rPr>
                <w:rFonts w:ascii="Calibri" w:hAnsi="Calibri"/>
                <w:color w:val="000000"/>
                <w:sz w:val="20"/>
                <w:szCs w:val="20"/>
              </w:rPr>
            </w:pPr>
            <w:r w:rsidRPr="00EB5A40">
              <w:rPr>
                <w:rFonts w:ascii="Calibri" w:hAnsi="Calibri"/>
                <w:color w:val="000000"/>
                <w:sz w:val="20"/>
                <w:szCs w:val="20"/>
              </w:rPr>
              <w:t>Rate of Change</w:t>
            </w:r>
          </w:p>
        </w:tc>
        <w:tc>
          <w:tcPr>
            <w:tcW w:w="940" w:type="dxa"/>
            <w:tcBorders>
              <w:top w:val="nil"/>
              <w:left w:val="nil"/>
              <w:bottom w:val="single" w:sz="8" w:space="0" w:color="000000"/>
              <w:right w:val="single" w:sz="8" w:space="0" w:color="000000"/>
            </w:tcBorders>
            <w:shd w:val="clear" w:color="000000" w:fill="F2F2F2"/>
            <w:noWrap/>
            <w:vAlign w:val="center"/>
            <w:hideMark/>
          </w:tcPr>
          <w:p w14:paraId="7E599D7F" w14:textId="77777777" w:rsidR="00E406DE" w:rsidRPr="00EB5A40" w:rsidRDefault="00E406DE" w:rsidP="00E406DE">
            <w:pPr>
              <w:rPr>
                <w:rFonts w:ascii="Calibri" w:hAnsi="Calibri"/>
                <w:color w:val="000000"/>
                <w:sz w:val="20"/>
                <w:szCs w:val="20"/>
              </w:rPr>
            </w:pPr>
            <w:r w:rsidRPr="00EB5A40">
              <w:rPr>
                <w:rFonts w:ascii="Calibri" w:hAnsi="Calibri"/>
                <w:color w:val="000000"/>
                <w:sz w:val="20"/>
                <w:szCs w:val="20"/>
              </w:rPr>
              <w:t> </w:t>
            </w:r>
          </w:p>
        </w:tc>
        <w:tc>
          <w:tcPr>
            <w:tcW w:w="940" w:type="dxa"/>
            <w:tcBorders>
              <w:top w:val="nil"/>
              <w:left w:val="nil"/>
              <w:bottom w:val="single" w:sz="8" w:space="0" w:color="000000"/>
              <w:right w:val="single" w:sz="8" w:space="0" w:color="000000"/>
            </w:tcBorders>
            <w:shd w:val="clear" w:color="auto" w:fill="auto"/>
            <w:noWrap/>
            <w:vAlign w:val="center"/>
            <w:hideMark/>
          </w:tcPr>
          <w:p w14:paraId="4EFC0859"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34.55%</w:t>
            </w:r>
          </w:p>
        </w:tc>
        <w:tc>
          <w:tcPr>
            <w:tcW w:w="940" w:type="dxa"/>
            <w:tcBorders>
              <w:top w:val="nil"/>
              <w:left w:val="nil"/>
              <w:bottom w:val="single" w:sz="8" w:space="0" w:color="000000"/>
              <w:right w:val="single" w:sz="8" w:space="0" w:color="000000"/>
            </w:tcBorders>
            <w:shd w:val="clear" w:color="auto" w:fill="auto"/>
            <w:noWrap/>
            <w:vAlign w:val="center"/>
            <w:hideMark/>
          </w:tcPr>
          <w:p w14:paraId="35D917DF"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36.49%</w:t>
            </w:r>
          </w:p>
        </w:tc>
        <w:tc>
          <w:tcPr>
            <w:tcW w:w="940" w:type="dxa"/>
            <w:tcBorders>
              <w:top w:val="nil"/>
              <w:left w:val="nil"/>
              <w:bottom w:val="single" w:sz="8" w:space="0" w:color="000000"/>
              <w:right w:val="single" w:sz="8" w:space="0" w:color="000000"/>
            </w:tcBorders>
            <w:shd w:val="clear" w:color="auto" w:fill="auto"/>
            <w:noWrap/>
            <w:vAlign w:val="center"/>
            <w:hideMark/>
          </w:tcPr>
          <w:p w14:paraId="6475A22C"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14.19%</w:t>
            </w:r>
          </w:p>
        </w:tc>
      </w:tr>
      <w:tr w:rsidR="00E406DE" w:rsidRPr="00F065A5" w14:paraId="551CD11B" w14:textId="77777777" w:rsidTr="00EB5A40">
        <w:trPr>
          <w:trHeight w:val="300"/>
        </w:trPr>
        <w:tc>
          <w:tcPr>
            <w:tcW w:w="1902" w:type="dxa"/>
            <w:tcBorders>
              <w:top w:val="single" w:sz="8" w:space="0" w:color="000000"/>
              <w:left w:val="single" w:sz="8" w:space="0" w:color="000000"/>
              <w:bottom w:val="single" w:sz="8" w:space="0" w:color="000000"/>
              <w:right w:val="single" w:sz="8" w:space="0" w:color="000000"/>
            </w:tcBorders>
            <w:shd w:val="clear" w:color="auto" w:fill="CCFFCC"/>
            <w:noWrap/>
            <w:vAlign w:val="center"/>
            <w:hideMark/>
          </w:tcPr>
          <w:p w14:paraId="6D5FD3A5" w14:textId="77777777" w:rsidR="00E406DE" w:rsidRPr="00EB5A40" w:rsidRDefault="00E406DE" w:rsidP="00EB5A40">
            <w:pPr>
              <w:rPr>
                <w:rFonts w:ascii="Calibri" w:hAnsi="Calibri"/>
                <w:b/>
                <w:bCs/>
                <w:color w:val="000000"/>
                <w:sz w:val="20"/>
                <w:szCs w:val="20"/>
              </w:rPr>
            </w:pPr>
            <w:r w:rsidRPr="00EB5A40">
              <w:rPr>
                <w:rFonts w:ascii="Calibri" w:hAnsi="Calibri"/>
                <w:b/>
                <w:bCs/>
                <w:color w:val="000000"/>
                <w:sz w:val="20"/>
                <w:szCs w:val="20"/>
              </w:rPr>
              <w:t>Penobscot County</w:t>
            </w:r>
          </w:p>
        </w:tc>
        <w:tc>
          <w:tcPr>
            <w:tcW w:w="940" w:type="dxa"/>
            <w:tcBorders>
              <w:top w:val="nil"/>
              <w:left w:val="nil"/>
              <w:bottom w:val="single" w:sz="8" w:space="0" w:color="000000"/>
              <w:right w:val="single" w:sz="8" w:space="0" w:color="000000"/>
            </w:tcBorders>
            <w:shd w:val="clear" w:color="000000" w:fill="FFFFFF"/>
            <w:noWrap/>
            <w:vAlign w:val="center"/>
            <w:hideMark/>
          </w:tcPr>
          <w:p w14:paraId="10476126"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45,974</w:t>
            </w:r>
          </w:p>
        </w:tc>
        <w:tc>
          <w:tcPr>
            <w:tcW w:w="940" w:type="dxa"/>
            <w:tcBorders>
              <w:top w:val="nil"/>
              <w:left w:val="nil"/>
              <w:bottom w:val="single" w:sz="8" w:space="0" w:color="000000"/>
              <w:right w:val="single" w:sz="8" w:space="0" w:color="000000"/>
            </w:tcBorders>
            <w:shd w:val="clear" w:color="auto" w:fill="auto"/>
            <w:noWrap/>
            <w:vAlign w:val="center"/>
            <w:hideMark/>
          </w:tcPr>
          <w:p w14:paraId="1D669A31"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54,063</w:t>
            </w:r>
          </w:p>
        </w:tc>
        <w:tc>
          <w:tcPr>
            <w:tcW w:w="940" w:type="dxa"/>
            <w:tcBorders>
              <w:top w:val="nil"/>
              <w:left w:val="nil"/>
              <w:bottom w:val="single" w:sz="8" w:space="0" w:color="000000"/>
              <w:right w:val="single" w:sz="8" w:space="0" w:color="000000"/>
            </w:tcBorders>
            <w:shd w:val="clear" w:color="auto" w:fill="auto"/>
            <w:noWrap/>
            <w:vAlign w:val="center"/>
            <w:hideMark/>
          </w:tcPr>
          <w:p w14:paraId="043603CD"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58,096</w:t>
            </w:r>
          </w:p>
        </w:tc>
        <w:tc>
          <w:tcPr>
            <w:tcW w:w="940" w:type="dxa"/>
            <w:tcBorders>
              <w:top w:val="nil"/>
              <w:left w:val="nil"/>
              <w:bottom w:val="single" w:sz="8" w:space="0" w:color="000000"/>
              <w:right w:val="single" w:sz="8" w:space="0" w:color="000000"/>
            </w:tcBorders>
            <w:shd w:val="clear" w:color="auto" w:fill="auto"/>
            <w:noWrap/>
            <w:vAlign w:val="center"/>
            <w:hideMark/>
          </w:tcPr>
          <w:p w14:paraId="273C7337"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62,966</w:t>
            </w:r>
          </w:p>
        </w:tc>
      </w:tr>
      <w:tr w:rsidR="00E406DE" w:rsidRPr="00F065A5" w14:paraId="7E3A7860" w14:textId="77777777" w:rsidTr="00EB5A40">
        <w:trPr>
          <w:trHeight w:val="300"/>
        </w:trPr>
        <w:tc>
          <w:tcPr>
            <w:tcW w:w="1902" w:type="dxa"/>
            <w:tcBorders>
              <w:top w:val="single" w:sz="8" w:space="0" w:color="000000"/>
              <w:left w:val="single" w:sz="8" w:space="0" w:color="000000"/>
              <w:bottom w:val="single" w:sz="8" w:space="0" w:color="000000"/>
              <w:right w:val="single" w:sz="8" w:space="0" w:color="000000"/>
            </w:tcBorders>
            <w:shd w:val="clear" w:color="auto" w:fill="CCFFCC"/>
            <w:noWrap/>
            <w:vAlign w:val="center"/>
            <w:hideMark/>
          </w:tcPr>
          <w:p w14:paraId="4D8EE7A1" w14:textId="77777777" w:rsidR="00E406DE" w:rsidRPr="00EB5A40" w:rsidRDefault="00E406DE" w:rsidP="00EB5A40">
            <w:pPr>
              <w:rPr>
                <w:rFonts w:ascii="Calibri" w:hAnsi="Calibri"/>
                <w:color w:val="000000"/>
                <w:sz w:val="20"/>
                <w:szCs w:val="20"/>
              </w:rPr>
            </w:pPr>
            <w:r w:rsidRPr="00EB5A40">
              <w:rPr>
                <w:rFonts w:ascii="Calibri" w:hAnsi="Calibri"/>
                <w:color w:val="000000"/>
                <w:sz w:val="20"/>
                <w:szCs w:val="20"/>
              </w:rPr>
              <w:t>Rate of Change</w:t>
            </w:r>
          </w:p>
        </w:tc>
        <w:tc>
          <w:tcPr>
            <w:tcW w:w="940" w:type="dxa"/>
            <w:tcBorders>
              <w:top w:val="nil"/>
              <w:left w:val="nil"/>
              <w:bottom w:val="single" w:sz="8" w:space="0" w:color="000000"/>
              <w:right w:val="single" w:sz="8" w:space="0" w:color="000000"/>
            </w:tcBorders>
            <w:shd w:val="clear" w:color="000000" w:fill="F2F2F2"/>
            <w:noWrap/>
            <w:vAlign w:val="center"/>
            <w:hideMark/>
          </w:tcPr>
          <w:p w14:paraId="7E58D7C3" w14:textId="77777777" w:rsidR="00E406DE" w:rsidRPr="00EB5A40" w:rsidRDefault="00E406DE" w:rsidP="00E406DE">
            <w:pPr>
              <w:rPr>
                <w:rFonts w:ascii="Calibri" w:hAnsi="Calibri"/>
                <w:color w:val="000000"/>
                <w:sz w:val="20"/>
                <w:szCs w:val="20"/>
              </w:rPr>
            </w:pPr>
            <w:r w:rsidRPr="00EB5A40">
              <w:rPr>
                <w:rFonts w:ascii="Calibri" w:hAnsi="Calibri"/>
                <w:color w:val="000000"/>
                <w:sz w:val="20"/>
                <w:szCs w:val="20"/>
              </w:rPr>
              <w:t> </w:t>
            </w:r>
          </w:p>
        </w:tc>
        <w:tc>
          <w:tcPr>
            <w:tcW w:w="940" w:type="dxa"/>
            <w:tcBorders>
              <w:top w:val="nil"/>
              <w:left w:val="nil"/>
              <w:bottom w:val="single" w:sz="8" w:space="0" w:color="000000"/>
              <w:right w:val="single" w:sz="8" w:space="0" w:color="000000"/>
            </w:tcBorders>
            <w:shd w:val="clear" w:color="auto" w:fill="auto"/>
            <w:noWrap/>
            <w:vAlign w:val="center"/>
            <w:hideMark/>
          </w:tcPr>
          <w:p w14:paraId="315A5099"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17.59%</w:t>
            </w:r>
          </w:p>
        </w:tc>
        <w:tc>
          <w:tcPr>
            <w:tcW w:w="940" w:type="dxa"/>
            <w:tcBorders>
              <w:top w:val="nil"/>
              <w:left w:val="nil"/>
              <w:bottom w:val="single" w:sz="8" w:space="0" w:color="000000"/>
              <w:right w:val="single" w:sz="8" w:space="0" w:color="000000"/>
            </w:tcBorders>
            <w:shd w:val="clear" w:color="auto" w:fill="auto"/>
            <w:noWrap/>
            <w:vAlign w:val="center"/>
            <w:hideMark/>
          </w:tcPr>
          <w:p w14:paraId="70D2C1B0"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7.46%</w:t>
            </w:r>
          </w:p>
        </w:tc>
        <w:tc>
          <w:tcPr>
            <w:tcW w:w="940" w:type="dxa"/>
            <w:tcBorders>
              <w:top w:val="nil"/>
              <w:left w:val="nil"/>
              <w:bottom w:val="single" w:sz="8" w:space="0" w:color="000000"/>
              <w:right w:val="single" w:sz="8" w:space="0" w:color="000000"/>
            </w:tcBorders>
            <w:shd w:val="clear" w:color="auto" w:fill="auto"/>
            <w:noWrap/>
            <w:vAlign w:val="center"/>
            <w:hideMark/>
          </w:tcPr>
          <w:p w14:paraId="605D8169"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8.38%</w:t>
            </w:r>
          </w:p>
        </w:tc>
      </w:tr>
      <w:tr w:rsidR="00E406DE" w:rsidRPr="00F065A5" w14:paraId="34FB9C96" w14:textId="77777777" w:rsidTr="00EB5A40">
        <w:trPr>
          <w:trHeight w:val="300"/>
        </w:trPr>
        <w:tc>
          <w:tcPr>
            <w:tcW w:w="1902" w:type="dxa"/>
            <w:tcBorders>
              <w:top w:val="single" w:sz="8" w:space="0" w:color="000000"/>
              <w:left w:val="single" w:sz="8" w:space="0" w:color="000000"/>
              <w:bottom w:val="single" w:sz="8" w:space="0" w:color="000000"/>
              <w:right w:val="single" w:sz="8" w:space="0" w:color="000000"/>
            </w:tcBorders>
            <w:shd w:val="clear" w:color="auto" w:fill="CCFFCC"/>
            <w:noWrap/>
            <w:vAlign w:val="center"/>
            <w:hideMark/>
          </w:tcPr>
          <w:p w14:paraId="2428F5E9" w14:textId="77777777" w:rsidR="00E406DE" w:rsidRPr="00EB5A40" w:rsidRDefault="00E406DE" w:rsidP="00EB5A40">
            <w:pPr>
              <w:rPr>
                <w:rFonts w:ascii="Calibri" w:hAnsi="Calibri"/>
                <w:b/>
                <w:bCs/>
                <w:color w:val="000000"/>
                <w:sz w:val="20"/>
                <w:szCs w:val="20"/>
              </w:rPr>
            </w:pPr>
            <w:r w:rsidRPr="00EB5A40">
              <w:rPr>
                <w:rFonts w:ascii="Calibri" w:hAnsi="Calibri"/>
                <w:b/>
                <w:bCs/>
                <w:color w:val="000000"/>
                <w:sz w:val="20"/>
                <w:szCs w:val="20"/>
              </w:rPr>
              <w:t>Hancock County</w:t>
            </w:r>
          </w:p>
        </w:tc>
        <w:tc>
          <w:tcPr>
            <w:tcW w:w="940" w:type="dxa"/>
            <w:tcBorders>
              <w:top w:val="nil"/>
              <w:left w:val="nil"/>
              <w:bottom w:val="single" w:sz="8" w:space="0" w:color="000000"/>
              <w:right w:val="single" w:sz="8" w:space="0" w:color="000000"/>
            </w:tcBorders>
            <w:shd w:val="clear" w:color="auto" w:fill="auto"/>
            <w:noWrap/>
            <w:vAlign w:val="center"/>
            <w:hideMark/>
          </w:tcPr>
          <w:p w14:paraId="526EA903"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15,411</w:t>
            </w:r>
          </w:p>
        </w:tc>
        <w:tc>
          <w:tcPr>
            <w:tcW w:w="940" w:type="dxa"/>
            <w:tcBorders>
              <w:top w:val="nil"/>
              <w:left w:val="nil"/>
              <w:bottom w:val="single" w:sz="8" w:space="0" w:color="000000"/>
              <w:right w:val="single" w:sz="8" w:space="0" w:color="000000"/>
            </w:tcBorders>
            <w:shd w:val="clear" w:color="auto" w:fill="auto"/>
            <w:noWrap/>
            <w:vAlign w:val="center"/>
            <w:hideMark/>
          </w:tcPr>
          <w:p w14:paraId="7A56A8DC"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18,342</w:t>
            </w:r>
          </w:p>
        </w:tc>
        <w:tc>
          <w:tcPr>
            <w:tcW w:w="940" w:type="dxa"/>
            <w:tcBorders>
              <w:top w:val="nil"/>
              <w:left w:val="nil"/>
              <w:bottom w:val="single" w:sz="8" w:space="0" w:color="000000"/>
              <w:right w:val="single" w:sz="8" w:space="0" w:color="000000"/>
            </w:tcBorders>
            <w:shd w:val="clear" w:color="auto" w:fill="auto"/>
            <w:noWrap/>
            <w:vAlign w:val="center"/>
            <w:hideMark/>
          </w:tcPr>
          <w:p w14:paraId="6998F8C7"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21,864</w:t>
            </w:r>
          </w:p>
        </w:tc>
        <w:tc>
          <w:tcPr>
            <w:tcW w:w="940" w:type="dxa"/>
            <w:tcBorders>
              <w:top w:val="nil"/>
              <w:left w:val="nil"/>
              <w:bottom w:val="single" w:sz="8" w:space="0" w:color="000000"/>
              <w:right w:val="single" w:sz="8" w:space="0" w:color="000000"/>
            </w:tcBorders>
            <w:shd w:val="clear" w:color="auto" w:fill="auto"/>
            <w:noWrap/>
            <w:vAlign w:val="center"/>
            <w:hideMark/>
          </w:tcPr>
          <w:p w14:paraId="2C8CEA0C"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24,221</w:t>
            </w:r>
          </w:p>
        </w:tc>
      </w:tr>
      <w:tr w:rsidR="00E406DE" w:rsidRPr="00F065A5" w14:paraId="404502AD" w14:textId="77777777" w:rsidTr="00EB5A40">
        <w:trPr>
          <w:trHeight w:val="300"/>
        </w:trPr>
        <w:tc>
          <w:tcPr>
            <w:tcW w:w="1902" w:type="dxa"/>
            <w:tcBorders>
              <w:top w:val="single" w:sz="8" w:space="0" w:color="000000"/>
              <w:left w:val="single" w:sz="8" w:space="0" w:color="000000"/>
              <w:bottom w:val="single" w:sz="8" w:space="0" w:color="000000"/>
              <w:right w:val="single" w:sz="8" w:space="0" w:color="000000"/>
            </w:tcBorders>
            <w:shd w:val="clear" w:color="auto" w:fill="CCFFCC"/>
            <w:noWrap/>
            <w:vAlign w:val="center"/>
            <w:hideMark/>
          </w:tcPr>
          <w:p w14:paraId="33B2F23F" w14:textId="77777777" w:rsidR="00E406DE" w:rsidRPr="00EB5A40" w:rsidRDefault="00E406DE" w:rsidP="00EB5A40">
            <w:pPr>
              <w:rPr>
                <w:rFonts w:ascii="Calibri" w:hAnsi="Calibri"/>
                <w:color w:val="000000"/>
                <w:sz w:val="20"/>
                <w:szCs w:val="20"/>
              </w:rPr>
            </w:pPr>
            <w:r w:rsidRPr="00EB5A40">
              <w:rPr>
                <w:rFonts w:ascii="Calibri" w:hAnsi="Calibri"/>
                <w:color w:val="000000"/>
                <w:sz w:val="20"/>
                <w:szCs w:val="20"/>
              </w:rPr>
              <w:t>Rate of Change</w:t>
            </w:r>
          </w:p>
        </w:tc>
        <w:tc>
          <w:tcPr>
            <w:tcW w:w="940" w:type="dxa"/>
            <w:tcBorders>
              <w:top w:val="nil"/>
              <w:left w:val="nil"/>
              <w:bottom w:val="single" w:sz="8" w:space="0" w:color="000000"/>
              <w:right w:val="single" w:sz="8" w:space="0" w:color="000000"/>
            </w:tcBorders>
            <w:shd w:val="clear" w:color="000000" w:fill="F2F2F2"/>
            <w:noWrap/>
            <w:vAlign w:val="center"/>
            <w:hideMark/>
          </w:tcPr>
          <w:p w14:paraId="730426DC" w14:textId="77777777" w:rsidR="00E406DE" w:rsidRPr="00EB5A40" w:rsidRDefault="00E406DE" w:rsidP="00E406DE">
            <w:pPr>
              <w:rPr>
                <w:rFonts w:ascii="Calibri" w:hAnsi="Calibri"/>
                <w:color w:val="000000"/>
                <w:sz w:val="20"/>
                <w:szCs w:val="20"/>
              </w:rPr>
            </w:pPr>
            <w:r w:rsidRPr="00EB5A40">
              <w:rPr>
                <w:rFonts w:ascii="Calibri" w:hAnsi="Calibri"/>
                <w:color w:val="000000"/>
                <w:sz w:val="20"/>
                <w:szCs w:val="20"/>
              </w:rPr>
              <w:t> </w:t>
            </w:r>
          </w:p>
        </w:tc>
        <w:tc>
          <w:tcPr>
            <w:tcW w:w="940" w:type="dxa"/>
            <w:tcBorders>
              <w:top w:val="nil"/>
              <w:left w:val="nil"/>
              <w:bottom w:val="single" w:sz="8" w:space="0" w:color="000000"/>
              <w:right w:val="single" w:sz="8" w:space="0" w:color="000000"/>
            </w:tcBorders>
            <w:shd w:val="clear" w:color="auto" w:fill="auto"/>
            <w:noWrap/>
            <w:vAlign w:val="center"/>
            <w:hideMark/>
          </w:tcPr>
          <w:p w14:paraId="0153CD2C"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19.02%</w:t>
            </w:r>
          </w:p>
        </w:tc>
        <w:tc>
          <w:tcPr>
            <w:tcW w:w="940" w:type="dxa"/>
            <w:tcBorders>
              <w:top w:val="nil"/>
              <w:left w:val="nil"/>
              <w:bottom w:val="single" w:sz="8" w:space="0" w:color="000000"/>
              <w:right w:val="single" w:sz="8" w:space="0" w:color="000000"/>
            </w:tcBorders>
            <w:shd w:val="clear" w:color="auto" w:fill="auto"/>
            <w:noWrap/>
            <w:vAlign w:val="center"/>
            <w:hideMark/>
          </w:tcPr>
          <w:p w14:paraId="06F2BF38"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19.20%</w:t>
            </w:r>
          </w:p>
        </w:tc>
        <w:tc>
          <w:tcPr>
            <w:tcW w:w="940" w:type="dxa"/>
            <w:tcBorders>
              <w:top w:val="nil"/>
              <w:left w:val="nil"/>
              <w:bottom w:val="single" w:sz="8" w:space="0" w:color="000000"/>
              <w:right w:val="single" w:sz="8" w:space="0" w:color="000000"/>
            </w:tcBorders>
            <w:shd w:val="clear" w:color="auto" w:fill="auto"/>
            <w:noWrap/>
            <w:vAlign w:val="center"/>
            <w:hideMark/>
          </w:tcPr>
          <w:p w14:paraId="299E7D98"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10.78%</w:t>
            </w:r>
          </w:p>
        </w:tc>
      </w:tr>
      <w:tr w:rsidR="00E406DE" w:rsidRPr="00F065A5" w14:paraId="59BBE446" w14:textId="77777777" w:rsidTr="00EB5A40">
        <w:trPr>
          <w:trHeight w:val="300"/>
        </w:trPr>
        <w:tc>
          <w:tcPr>
            <w:tcW w:w="1902" w:type="dxa"/>
            <w:tcBorders>
              <w:top w:val="single" w:sz="8" w:space="0" w:color="000000"/>
              <w:left w:val="single" w:sz="8" w:space="0" w:color="000000"/>
              <w:bottom w:val="single" w:sz="8" w:space="0" w:color="000000"/>
              <w:right w:val="single" w:sz="8" w:space="0" w:color="000000"/>
            </w:tcBorders>
            <w:shd w:val="clear" w:color="auto" w:fill="CCFFCC"/>
            <w:noWrap/>
            <w:vAlign w:val="center"/>
            <w:hideMark/>
          </w:tcPr>
          <w:p w14:paraId="32848FDC" w14:textId="77777777" w:rsidR="00E406DE" w:rsidRPr="00EB5A40" w:rsidRDefault="00E406DE" w:rsidP="00EB5A40">
            <w:pPr>
              <w:rPr>
                <w:rFonts w:ascii="Calibri" w:hAnsi="Calibri"/>
                <w:b/>
                <w:bCs/>
                <w:color w:val="000000"/>
                <w:sz w:val="20"/>
                <w:szCs w:val="20"/>
              </w:rPr>
            </w:pPr>
            <w:r w:rsidRPr="00EB5A40">
              <w:rPr>
                <w:rFonts w:ascii="Calibri" w:hAnsi="Calibri"/>
                <w:b/>
                <w:bCs/>
                <w:color w:val="000000"/>
                <w:sz w:val="20"/>
                <w:szCs w:val="20"/>
              </w:rPr>
              <w:t>State of Maine</w:t>
            </w:r>
          </w:p>
        </w:tc>
        <w:tc>
          <w:tcPr>
            <w:tcW w:w="940" w:type="dxa"/>
            <w:tcBorders>
              <w:top w:val="nil"/>
              <w:left w:val="nil"/>
              <w:bottom w:val="single" w:sz="8" w:space="0" w:color="000000"/>
              <w:right w:val="single" w:sz="8" w:space="0" w:color="000000"/>
            </w:tcBorders>
            <w:shd w:val="clear" w:color="auto" w:fill="auto"/>
            <w:noWrap/>
            <w:vAlign w:val="center"/>
            <w:hideMark/>
          </w:tcPr>
          <w:p w14:paraId="228FC763"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395,184</w:t>
            </w:r>
          </w:p>
        </w:tc>
        <w:tc>
          <w:tcPr>
            <w:tcW w:w="940" w:type="dxa"/>
            <w:tcBorders>
              <w:top w:val="nil"/>
              <w:left w:val="nil"/>
              <w:bottom w:val="single" w:sz="8" w:space="0" w:color="000000"/>
              <w:right w:val="single" w:sz="8" w:space="0" w:color="000000"/>
            </w:tcBorders>
            <w:shd w:val="clear" w:color="auto" w:fill="auto"/>
            <w:noWrap/>
            <w:vAlign w:val="center"/>
            <w:hideMark/>
          </w:tcPr>
          <w:p w14:paraId="00E0D9FD"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465,312</w:t>
            </w:r>
          </w:p>
        </w:tc>
        <w:tc>
          <w:tcPr>
            <w:tcW w:w="940" w:type="dxa"/>
            <w:tcBorders>
              <w:top w:val="nil"/>
              <w:left w:val="nil"/>
              <w:bottom w:val="single" w:sz="8" w:space="0" w:color="000000"/>
              <w:right w:val="single" w:sz="8" w:space="0" w:color="000000"/>
            </w:tcBorders>
            <w:shd w:val="clear" w:color="auto" w:fill="auto"/>
            <w:noWrap/>
            <w:vAlign w:val="center"/>
            <w:hideMark/>
          </w:tcPr>
          <w:p w14:paraId="4D177B27"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518,200</w:t>
            </w:r>
          </w:p>
        </w:tc>
        <w:tc>
          <w:tcPr>
            <w:tcW w:w="940" w:type="dxa"/>
            <w:tcBorders>
              <w:top w:val="nil"/>
              <w:left w:val="nil"/>
              <w:bottom w:val="single" w:sz="8" w:space="0" w:color="000000"/>
              <w:right w:val="single" w:sz="8" w:space="0" w:color="000000"/>
            </w:tcBorders>
            <w:shd w:val="clear" w:color="auto" w:fill="auto"/>
            <w:noWrap/>
            <w:vAlign w:val="center"/>
            <w:hideMark/>
          </w:tcPr>
          <w:p w14:paraId="18DC6282"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557,219</w:t>
            </w:r>
          </w:p>
        </w:tc>
      </w:tr>
      <w:tr w:rsidR="00E406DE" w:rsidRPr="00F065A5" w14:paraId="25941AAA" w14:textId="77777777" w:rsidTr="00EB5A40">
        <w:trPr>
          <w:trHeight w:val="300"/>
        </w:trPr>
        <w:tc>
          <w:tcPr>
            <w:tcW w:w="1902" w:type="dxa"/>
            <w:tcBorders>
              <w:top w:val="single" w:sz="8" w:space="0" w:color="000000"/>
              <w:left w:val="single" w:sz="8" w:space="0" w:color="000000"/>
              <w:bottom w:val="single" w:sz="8" w:space="0" w:color="000000"/>
              <w:right w:val="single" w:sz="8" w:space="0" w:color="000000"/>
            </w:tcBorders>
            <w:shd w:val="clear" w:color="auto" w:fill="CCFFCC"/>
            <w:noWrap/>
            <w:vAlign w:val="center"/>
            <w:hideMark/>
          </w:tcPr>
          <w:p w14:paraId="18314379" w14:textId="77777777" w:rsidR="00E406DE" w:rsidRPr="00EB5A40" w:rsidRDefault="00E406DE" w:rsidP="00EB5A40">
            <w:pPr>
              <w:rPr>
                <w:rFonts w:ascii="Calibri" w:hAnsi="Calibri"/>
                <w:color w:val="000000"/>
                <w:sz w:val="20"/>
                <w:szCs w:val="20"/>
              </w:rPr>
            </w:pPr>
            <w:r w:rsidRPr="00EB5A40">
              <w:rPr>
                <w:rFonts w:ascii="Calibri" w:hAnsi="Calibri"/>
                <w:color w:val="000000"/>
                <w:sz w:val="20"/>
                <w:szCs w:val="20"/>
              </w:rPr>
              <w:t>Rate of Change</w:t>
            </w:r>
          </w:p>
        </w:tc>
        <w:tc>
          <w:tcPr>
            <w:tcW w:w="940" w:type="dxa"/>
            <w:tcBorders>
              <w:top w:val="nil"/>
              <w:left w:val="nil"/>
              <w:bottom w:val="single" w:sz="8" w:space="0" w:color="000000"/>
              <w:right w:val="single" w:sz="8" w:space="0" w:color="000000"/>
            </w:tcBorders>
            <w:shd w:val="clear" w:color="000000" w:fill="F2F2F2"/>
            <w:noWrap/>
            <w:vAlign w:val="center"/>
            <w:hideMark/>
          </w:tcPr>
          <w:p w14:paraId="34F63DF8" w14:textId="77777777" w:rsidR="00E406DE" w:rsidRPr="00EB5A40" w:rsidRDefault="00E406DE" w:rsidP="00E406DE">
            <w:pPr>
              <w:rPr>
                <w:rFonts w:ascii="Calibri" w:hAnsi="Calibri"/>
                <w:color w:val="000000"/>
                <w:sz w:val="20"/>
                <w:szCs w:val="20"/>
              </w:rPr>
            </w:pPr>
            <w:r w:rsidRPr="00EB5A40">
              <w:rPr>
                <w:rFonts w:ascii="Calibri" w:hAnsi="Calibri"/>
                <w:color w:val="000000"/>
                <w:sz w:val="20"/>
                <w:szCs w:val="20"/>
              </w:rPr>
              <w:t> </w:t>
            </w:r>
          </w:p>
        </w:tc>
        <w:tc>
          <w:tcPr>
            <w:tcW w:w="940" w:type="dxa"/>
            <w:tcBorders>
              <w:top w:val="nil"/>
              <w:left w:val="nil"/>
              <w:bottom w:val="single" w:sz="8" w:space="0" w:color="000000"/>
              <w:right w:val="single" w:sz="8" w:space="0" w:color="000000"/>
            </w:tcBorders>
            <w:shd w:val="clear" w:color="auto" w:fill="auto"/>
            <w:noWrap/>
            <w:vAlign w:val="center"/>
            <w:hideMark/>
          </w:tcPr>
          <w:p w14:paraId="65B411BB"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17.75%</w:t>
            </w:r>
          </w:p>
        </w:tc>
        <w:tc>
          <w:tcPr>
            <w:tcW w:w="940" w:type="dxa"/>
            <w:tcBorders>
              <w:top w:val="nil"/>
              <w:left w:val="nil"/>
              <w:bottom w:val="single" w:sz="8" w:space="0" w:color="000000"/>
              <w:right w:val="single" w:sz="8" w:space="0" w:color="000000"/>
            </w:tcBorders>
            <w:shd w:val="clear" w:color="auto" w:fill="auto"/>
            <w:noWrap/>
            <w:vAlign w:val="center"/>
            <w:hideMark/>
          </w:tcPr>
          <w:p w14:paraId="48192D71"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11.37%</w:t>
            </w:r>
          </w:p>
        </w:tc>
        <w:tc>
          <w:tcPr>
            <w:tcW w:w="940" w:type="dxa"/>
            <w:tcBorders>
              <w:top w:val="nil"/>
              <w:left w:val="nil"/>
              <w:bottom w:val="single" w:sz="8" w:space="0" w:color="000000"/>
              <w:right w:val="single" w:sz="8" w:space="0" w:color="000000"/>
            </w:tcBorders>
            <w:shd w:val="clear" w:color="auto" w:fill="auto"/>
            <w:noWrap/>
            <w:vAlign w:val="center"/>
            <w:hideMark/>
          </w:tcPr>
          <w:p w14:paraId="08F12138" w14:textId="77777777" w:rsidR="00E406DE" w:rsidRPr="00EB5A40" w:rsidRDefault="00E406DE" w:rsidP="00E406DE">
            <w:pPr>
              <w:jc w:val="center"/>
              <w:rPr>
                <w:rFonts w:ascii="Calibri" w:hAnsi="Calibri"/>
                <w:color w:val="000000"/>
                <w:sz w:val="20"/>
                <w:szCs w:val="20"/>
              </w:rPr>
            </w:pPr>
            <w:r w:rsidRPr="00EB5A40">
              <w:rPr>
                <w:rFonts w:ascii="Calibri" w:hAnsi="Calibri"/>
                <w:color w:val="000000"/>
                <w:sz w:val="20"/>
                <w:szCs w:val="20"/>
              </w:rPr>
              <w:t>7.53%</w:t>
            </w:r>
          </w:p>
        </w:tc>
      </w:tr>
    </w:tbl>
    <w:p w14:paraId="3CEDE4DA" w14:textId="282F9480" w:rsidR="004F533B" w:rsidRDefault="004F533B" w:rsidP="00467CB7">
      <w:pPr>
        <w:widowControl w:val="0"/>
        <w:spacing w:after="120"/>
      </w:pPr>
      <w:r>
        <w:tab/>
        <w:t xml:space="preserve">In terms of percentage (despite the relatively small absolute impact), Clifton housing needs grew much more rapidly than adjoining towns and in particular faster than Penobscot County.  Alternately, Clifton housing growth is more similar to that found in Hancock County to the </w:t>
      </w:r>
      <w:r w:rsidR="00F065A5">
        <w:t>southeast.  Seasonal housing also grew faster in the past than neighboring towns.</w:t>
      </w:r>
    </w:p>
    <w:p w14:paraId="07BCD1AF" w14:textId="77777777" w:rsidR="000D527F" w:rsidRDefault="004C42C6" w:rsidP="000D527F">
      <w:pPr>
        <w:widowControl w:val="0"/>
        <w:spacing w:after="120"/>
      </w:pPr>
      <w:r>
        <w:tab/>
        <w:t>Clifton has significantly more seasonal use than Eddington or Holden, and Penobscot County as a whole, but less than Amherst, Otis, and Hancock County as a whole.  Clifton’s ratio of seasonal to year-round dwellings population is considerably larger than the statewide percentage</w:t>
      </w:r>
      <w:r w:rsidR="000D527F">
        <w:t>.  It may be reasonable to view Clifton as more nearly shadowing its Hancock County neighbors than its own county in the timing and character of its growth. While the actual number of seasonal dwellings in most of these places increased between 200 and 2010, it decreased in Clifton.</w:t>
      </w:r>
    </w:p>
    <w:p w14:paraId="7631E92B" w14:textId="77777777" w:rsidR="00C331C4" w:rsidRDefault="00EC3327" w:rsidP="00EC3327">
      <w:pPr>
        <w:widowControl w:val="0"/>
        <w:spacing w:after="120"/>
      </w:pPr>
      <w:r>
        <w:tab/>
      </w:r>
      <w:r w:rsidR="000D527F">
        <w:t xml:space="preserve">It may also be safe to conclude that some of the housing need created by the Town’s population growth </w:t>
      </w:r>
      <w:r w:rsidR="0065370E">
        <w:t>was</w:t>
      </w:r>
      <w:r w:rsidR="000D527F">
        <w:t xml:space="preserve"> met by the conversion of seasonal dwellings to year-round residences and vice versa. </w:t>
      </w:r>
      <w:r>
        <w:t xml:space="preserve"> </w:t>
      </w:r>
      <w:r w:rsidR="000D527F">
        <w:t xml:space="preserve">That is, at least some of Clifton’s in-migration was due to seasonal residences </w:t>
      </w:r>
    </w:p>
    <w:p w14:paraId="52871D25" w14:textId="77777777" w:rsidR="00C331C4" w:rsidRDefault="00C331C4" w:rsidP="00EC3327">
      <w:pPr>
        <w:widowControl w:val="0"/>
        <w:spacing w:after="120"/>
      </w:pPr>
    </w:p>
    <w:p w14:paraId="752E5C23" w14:textId="77777777" w:rsidR="004230A9" w:rsidRDefault="00615035">
      <w:pPr>
        <w:widowControl w:val="0"/>
        <w:spacing w:after="120"/>
      </w:pPr>
      <w:r>
        <w:rPr>
          <w:noProof/>
        </w:rPr>
        <w:drawing>
          <wp:anchor distT="0" distB="0" distL="114300" distR="114300" simplePos="0" relativeHeight="251658240" behindDoc="0" locked="0" layoutInCell="1" allowOverlap="1" wp14:anchorId="7381FF9B" wp14:editId="15A087F5">
            <wp:simplePos x="0" y="0"/>
            <wp:positionH relativeFrom="column">
              <wp:posOffset>0</wp:posOffset>
            </wp:positionH>
            <wp:positionV relativeFrom="paragraph">
              <wp:posOffset>735330</wp:posOffset>
            </wp:positionV>
            <wp:extent cx="6172200" cy="3086100"/>
            <wp:effectExtent l="0" t="0" r="25400" b="12700"/>
            <wp:wrapTight wrapText="bothSides">
              <wp:wrapPolygon edited="0">
                <wp:start x="0" y="0"/>
                <wp:lineTo x="0" y="21511"/>
                <wp:lineTo x="21600" y="21511"/>
                <wp:lineTo x="21600"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0D527F">
        <w:t xml:space="preserve">becoming year-round homes. </w:t>
      </w:r>
      <w:r w:rsidR="00EC3327">
        <w:t xml:space="preserve"> </w:t>
      </w:r>
      <w:r w:rsidR="000D527F">
        <w:t xml:space="preserve">The trend of converting seasonal to year-round residences may generate increasing demands for road maintenance and waste disposal, and </w:t>
      </w:r>
      <w:r w:rsidR="0065370E">
        <w:t>create</w:t>
      </w:r>
      <w:r w:rsidR="000D527F">
        <w:t xml:space="preserve"> increased need for code enforcement.</w:t>
      </w:r>
      <w:r w:rsidR="00EC3327">
        <w:t xml:space="preserve">  Although it appears Clifton’s seasonal population declined as the number of dwellings in this category declined; </w:t>
      </w:r>
      <w:r w:rsidR="00E406DE">
        <w:t xml:space="preserve">anecdotal evidence lends the possibility </w:t>
      </w:r>
      <w:r w:rsidR="00EC3327">
        <w:t xml:space="preserve">these dwellings often </w:t>
      </w:r>
      <w:r w:rsidR="00E406DE">
        <w:t xml:space="preserve">receive use and attention in the ‘off season’ and so-called </w:t>
      </w:r>
      <w:r w:rsidR="00EC3327">
        <w:t xml:space="preserve">occasional weekend use </w:t>
      </w:r>
      <w:r w:rsidR="00E406DE">
        <w:t xml:space="preserve">extends </w:t>
      </w:r>
      <w:r w:rsidR="00EC3327">
        <w:t xml:space="preserve">year-round.  </w:t>
      </w:r>
      <w:r w:rsidR="00C536FB">
        <w:t>A safe conclusion is Clifton continues to have a significant seasonal population, however, quantifying the number is challengin</w:t>
      </w:r>
      <w:r w:rsidR="004230A9">
        <w:t>g.</w:t>
      </w:r>
    </w:p>
    <w:p w14:paraId="487FD2AF" w14:textId="77777777" w:rsidR="004230A9" w:rsidRPr="00EB5A40" w:rsidRDefault="004230A9" w:rsidP="004230A9">
      <w:pPr>
        <w:widowControl w:val="0"/>
        <w:spacing w:after="120"/>
        <w:rPr>
          <w:b/>
          <w:i/>
        </w:rPr>
      </w:pPr>
      <w:r>
        <w:tab/>
      </w:r>
      <w:r w:rsidRPr="00EB5A40">
        <w:rPr>
          <w:b/>
          <w:i/>
        </w:rPr>
        <w:t>Group Quarters</w:t>
      </w:r>
    </w:p>
    <w:p w14:paraId="527EDE7D" w14:textId="0087E019" w:rsidR="00E65FA6" w:rsidRDefault="004230A9" w:rsidP="00467CB7">
      <w:pPr>
        <w:widowControl w:val="0"/>
        <w:spacing w:after="120"/>
      </w:pPr>
      <w:r>
        <w:t xml:space="preserve"> </w:t>
      </w:r>
      <w:r>
        <w:tab/>
      </w:r>
      <w:r w:rsidR="00501F3E">
        <w:t>The federal government</w:t>
      </w:r>
      <w:r>
        <w:t xml:space="preserve"> defines “Group Quarters” as living quarters where residents share common facilities or receive formally authorized care.  Examples include college dormitories, retirement homes, and communes.  For some group quarters, such as fraternity and sorority houses and certain types of group houses, a group quarters is distinguished from a housing unit if it houses ten or more unrelated people.  </w:t>
      </w:r>
      <w:r w:rsidR="00501F3E">
        <w:t xml:space="preserve">Group quarters are either institutional or non-institutional and further are </w:t>
      </w:r>
      <w:r>
        <w:t>military or civilian.</w:t>
      </w:r>
      <w:r w:rsidR="00501F3E">
        <w:t xml:space="preserve">  </w:t>
      </w:r>
      <w:r w:rsidR="00467CB7">
        <w:t>The 2010 Census reported no people living in group quarters in Clifton.</w:t>
      </w:r>
    </w:p>
    <w:p w14:paraId="049BD284" w14:textId="454802AD" w:rsidR="00467CB7" w:rsidRPr="00EB5A40" w:rsidRDefault="00501F3E" w:rsidP="00467CB7">
      <w:pPr>
        <w:widowControl w:val="0"/>
        <w:spacing w:after="120"/>
        <w:rPr>
          <w:b/>
          <w:i/>
        </w:rPr>
      </w:pPr>
      <w:r>
        <w:rPr>
          <w:b/>
          <w:i/>
        </w:rPr>
        <w:tab/>
      </w:r>
      <w:r w:rsidRPr="00EB5A40">
        <w:rPr>
          <w:b/>
          <w:i/>
        </w:rPr>
        <w:t>Households and Household Size</w:t>
      </w:r>
    </w:p>
    <w:p w14:paraId="033B45D3" w14:textId="108C6FC8" w:rsidR="00467CB7" w:rsidRDefault="00501F3E" w:rsidP="00467CB7">
      <w:pPr>
        <w:widowControl w:val="0"/>
        <w:spacing w:after="120"/>
      </w:pPr>
      <w:r>
        <w:tab/>
      </w:r>
      <w:r w:rsidR="00467CB7">
        <w:t>As total population increased during the decade between 2000 and 2010, so too did the numbe</w:t>
      </w:r>
      <w:r w:rsidR="009051BB">
        <w:t xml:space="preserve">r of new households.  However, </w:t>
      </w:r>
      <w:r w:rsidR="00467CB7">
        <w:t>the State projects the total population in Clifton t</w:t>
      </w:r>
      <w:r w:rsidR="009051BB">
        <w:t>o remain stagnant through 2024 and t</w:t>
      </w:r>
      <w:r w:rsidR="00467CB7">
        <w:t>he U.S. Census Bureau estimates th</w:t>
      </w:r>
      <w:r w:rsidR="009051BB">
        <w:t xml:space="preserve">at the number of households </w:t>
      </w:r>
      <w:r w:rsidR="00467CB7">
        <w:t>dropped between 2010 and 2015.</w:t>
      </w:r>
    </w:p>
    <w:p w14:paraId="6E068B23" w14:textId="77777777" w:rsidR="00467CB7" w:rsidRDefault="00467CB7" w:rsidP="00467CB7">
      <w:pPr>
        <w:widowControl w:val="0"/>
        <w:spacing w:after="120"/>
      </w:pPr>
    </w:p>
    <w:tbl>
      <w:tblPr>
        <w:tblW w:w="9540" w:type="dxa"/>
        <w:tblInd w:w="18" w:type="dxa"/>
        <w:tblLook w:val="04A0" w:firstRow="1" w:lastRow="0" w:firstColumn="1" w:lastColumn="0" w:noHBand="0" w:noVBand="1"/>
      </w:tblPr>
      <w:tblGrid>
        <w:gridCol w:w="1908"/>
        <w:gridCol w:w="1908"/>
        <w:gridCol w:w="1908"/>
        <w:gridCol w:w="1908"/>
        <w:gridCol w:w="1908"/>
      </w:tblGrid>
      <w:tr w:rsidR="00C92D41" w:rsidRPr="00C92D41" w14:paraId="6CC94C09" w14:textId="77777777" w:rsidTr="00EB5A40">
        <w:trPr>
          <w:trHeight w:val="470"/>
        </w:trPr>
        <w:tc>
          <w:tcPr>
            <w:tcW w:w="9540" w:type="dxa"/>
            <w:gridSpan w:val="5"/>
            <w:tcBorders>
              <w:top w:val="single" w:sz="8" w:space="0" w:color="000000"/>
              <w:left w:val="single" w:sz="8" w:space="0" w:color="000000"/>
              <w:bottom w:val="single" w:sz="8" w:space="0" w:color="000000"/>
              <w:right w:val="single" w:sz="8" w:space="0" w:color="000000"/>
            </w:tcBorders>
            <w:shd w:val="clear" w:color="auto" w:fill="CCFFCC"/>
            <w:vAlign w:val="center"/>
            <w:hideMark/>
          </w:tcPr>
          <w:p w14:paraId="6233802E" w14:textId="77777777" w:rsidR="00C92D41" w:rsidRPr="00EB5A40" w:rsidRDefault="00C92D41" w:rsidP="00EB5A40">
            <w:pPr>
              <w:ind w:firstLineChars="200" w:firstLine="402"/>
              <w:jc w:val="center"/>
              <w:rPr>
                <w:b/>
                <w:bCs/>
                <w:color w:val="000000"/>
                <w:sz w:val="20"/>
                <w:szCs w:val="20"/>
              </w:rPr>
            </w:pPr>
            <w:r w:rsidRPr="00EB5A40">
              <w:rPr>
                <w:b/>
                <w:bCs/>
                <w:color w:val="000000"/>
                <w:sz w:val="20"/>
                <w:szCs w:val="20"/>
              </w:rPr>
              <w:t>NUMBER OF HOUSEHOLDS AND RATE OF CHANGE</w:t>
            </w:r>
          </w:p>
        </w:tc>
      </w:tr>
      <w:tr w:rsidR="00C92D41" w:rsidRPr="00C92D41" w14:paraId="297BC7D4" w14:textId="77777777" w:rsidTr="00EB5A40">
        <w:trPr>
          <w:trHeight w:val="470"/>
        </w:trPr>
        <w:tc>
          <w:tcPr>
            <w:tcW w:w="1908" w:type="dxa"/>
            <w:tcBorders>
              <w:top w:val="nil"/>
              <w:left w:val="single" w:sz="8" w:space="0" w:color="000000"/>
              <w:bottom w:val="single" w:sz="8" w:space="0" w:color="000000"/>
              <w:right w:val="single" w:sz="8" w:space="0" w:color="000000"/>
            </w:tcBorders>
            <w:shd w:val="clear" w:color="auto" w:fill="CCFFCC"/>
            <w:vAlign w:val="center"/>
            <w:hideMark/>
          </w:tcPr>
          <w:p w14:paraId="0176E19F" w14:textId="77777777" w:rsidR="00C92D41" w:rsidRPr="00EB5A40" w:rsidRDefault="00C92D41" w:rsidP="00C92D41">
            <w:pPr>
              <w:rPr>
                <w:color w:val="000000"/>
                <w:sz w:val="20"/>
                <w:szCs w:val="20"/>
              </w:rPr>
            </w:pPr>
            <w:r w:rsidRPr="00EB5A40">
              <w:rPr>
                <w:color w:val="000000"/>
                <w:sz w:val="20"/>
                <w:szCs w:val="20"/>
              </w:rPr>
              <w:t> </w:t>
            </w:r>
          </w:p>
        </w:tc>
        <w:tc>
          <w:tcPr>
            <w:tcW w:w="1908" w:type="dxa"/>
            <w:tcBorders>
              <w:top w:val="nil"/>
              <w:left w:val="nil"/>
              <w:bottom w:val="single" w:sz="8" w:space="0" w:color="000000"/>
              <w:right w:val="single" w:sz="8" w:space="0" w:color="000000"/>
            </w:tcBorders>
            <w:shd w:val="clear" w:color="auto" w:fill="CCFFCC"/>
            <w:vAlign w:val="center"/>
            <w:hideMark/>
          </w:tcPr>
          <w:p w14:paraId="48BA370D" w14:textId="77777777" w:rsidR="00C92D41" w:rsidRPr="00EB5A40" w:rsidRDefault="00C92D41" w:rsidP="00C92D41">
            <w:pPr>
              <w:jc w:val="center"/>
              <w:rPr>
                <w:b/>
                <w:bCs/>
                <w:color w:val="000000"/>
                <w:sz w:val="20"/>
                <w:szCs w:val="20"/>
              </w:rPr>
            </w:pPr>
            <w:r w:rsidRPr="00EB5A40">
              <w:rPr>
                <w:b/>
                <w:bCs/>
                <w:color w:val="000000"/>
                <w:sz w:val="20"/>
                <w:szCs w:val="20"/>
              </w:rPr>
              <w:t>1980</w:t>
            </w:r>
          </w:p>
        </w:tc>
        <w:tc>
          <w:tcPr>
            <w:tcW w:w="1908" w:type="dxa"/>
            <w:tcBorders>
              <w:top w:val="nil"/>
              <w:left w:val="nil"/>
              <w:bottom w:val="single" w:sz="8" w:space="0" w:color="000000"/>
              <w:right w:val="single" w:sz="8" w:space="0" w:color="000000"/>
            </w:tcBorders>
            <w:shd w:val="clear" w:color="auto" w:fill="CCFFCC"/>
            <w:vAlign w:val="center"/>
            <w:hideMark/>
          </w:tcPr>
          <w:p w14:paraId="2ADEC099" w14:textId="77777777" w:rsidR="00C92D41" w:rsidRPr="00EB5A40" w:rsidRDefault="00C92D41" w:rsidP="00C92D41">
            <w:pPr>
              <w:jc w:val="center"/>
              <w:rPr>
                <w:b/>
                <w:bCs/>
                <w:color w:val="000000"/>
                <w:sz w:val="20"/>
                <w:szCs w:val="20"/>
              </w:rPr>
            </w:pPr>
            <w:r w:rsidRPr="00EB5A40">
              <w:rPr>
                <w:b/>
                <w:bCs/>
                <w:color w:val="000000"/>
                <w:sz w:val="20"/>
                <w:szCs w:val="20"/>
              </w:rPr>
              <w:t>1990</w:t>
            </w:r>
          </w:p>
        </w:tc>
        <w:tc>
          <w:tcPr>
            <w:tcW w:w="1908" w:type="dxa"/>
            <w:tcBorders>
              <w:top w:val="nil"/>
              <w:left w:val="nil"/>
              <w:bottom w:val="single" w:sz="8" w:space="0" w:color="000000"/>
              <w:right w:val="single" w:sz="8" w:space="0" w:color="000000"/>
            </w:tcBorders>
            <w:shd w:val="clear" w:color="auto" w:fill="CCFFCC"/>
            <w:vAlign w:val="center"/>
            <w:hideMark/>
          </w:tcPr>
          <w:p w14:paraId="3E8F687A" w14:textId="77777777" w:rsidR="00C92D41" w:rsidRPr="00EB5A40" w:rsidRDefault="00C92D41" w:rsidP="00C92D41">
            <w:pPr>
              <w:jc w:val="center"/>
              <w:rPr>
                <w:b/>
                <w:bCs/>
                <w:color w:val="000000"/>
                <w:sz w:val="20"/>
                <w:szCs w:val="20"/>
              </w:rPr>
            </w:pPr>
            <w:r w:rsidRPr="00EB5A40">
              <w:rPr>
                <w:b/>
                <w:bCs/>
                <w:color w:val="000000"/>
                <w:sz w:val="20"/>
                <w:szCs w:val="20"/>
              </w:rPr>
              <w:t>2000</w:t>
            </w:r>
          </w:p>
        </w:tc>
        <w:tc>
          <w:tcPr>
            <w:tcW w:w="1908" w:type="dxa"/>
            <w:tcBorders>
              <w:top w:val="nil"/>
              <w:left w:val="nil"/>
              <w:bottom w:val="single" w:sz="8" w:space="0" w:color="000000"/>
              <w:right w:val="single" w:sz="8" w:space="0" w:color="000000"/>
            </w:tcBorders>
            <w:shd w:val="clear" w:color="auto" w:fill="CCFFCC"/>
            <w:vAlign w:val="center"/>
            <w:hideMark/>
          </w:tcPr>
          <w:p w14:paraId="1EA7E152" w14:textId="77777777" w:rsidR="00C92D41" w:rsidRPr="00EB5A40" w:rsidRDefault="00C92D41" w:rsidP="00C92D41">
            <w:pPr>
              <w:jc w:val="center"/>
              <w:rPr>
                <w:b/>
                <w:bCs/>
                <w:color w:val="000000"/>
                <w:sz w:val="20"/>
                <w:szCs w:val="20"/>
              </w:rPr>
            </w:pPr>
            <w:r w:rsidRPr="00EB5A40">
              <w:rPr>
                <w:b/>
                <w:bCs/>
                <w:color w:val="000000"/>
                <w:sz w:val="20"/>
                <w:szCs w:val="20"/>
              </w:rPr>
              <w:t>2010</w:t>
            </w:r>
          </w:p>
        </w:tc>
      </w:tr>
      <w:tr w:rsidR="00C92D41" w:rsidRPr="00C92D41" w14:paraId="3B3F54D8" w14:textId="77777777" w:rsidTr="00EB5A40">
        <w:trPr>
          <w:trHeight w:val="470"/>
        </w:trPr>
        <w:tc>
          <w:tcPr>
            <w:tcW w:w="1908" w:type="dxa"/>
            <w:tcBorders>
              <w:top w:val="single" w:sz="8" w:space="0" w:color="000000"/>
              <w:left w:val="single" w:sz="8" w:space="0" w:color="000000"/>
              <w:bottom w:val="single" w:sz="8" w:space="0" w:color="000000"/>
              <w:right w:val="single" w:sz="8" w:space="0" w:color="000000"/>
            </w:tcBorders>
            <w:shd w:val="clear" w:color="auto" w:fill="CCFFCC"/>
            <w:vAlign w:val="center"/>
            <w:hideMark/>
          </w:tcPr>
          <w:p w14:paraId="0CADDCF8" w14:textId="77777777" w:rsidR="00C92D41" w:rsidRPr="00EB5A40" w:rsidRDefault="00C92D41">
            <w:pPr>
              <w:rPr>
                <w:b/>
                <w:bCs/>
                <w:color w:val="000000"/>
                <w:sz w:val="20"/>
                <w:szCs w:val="20"/>
              </w:rPr>
            </w:pPr>
            <w:r w:rsidRPr="00EB5A40">
              <w:rPr>
                <w:b/>
                <w:bCs/>
                <w:color w:val="000000"/>
                <w:sz w:val="20"/>
                <w:szCs w:val="20"/>
              </w:rPr>
              <w:t>Clifton</w:t>
            </w:r>
          </w:p>
        </w:tc>
        <w:tc>
          <w:tcPr>
            <w:tcW w:w="1908" w:type="dxa"/>
            <w:tcBorders>
              <w:top w:val="nil"/>
              <w:left w:val="nil"/>
              <w:bottom w:val="single" w:sz="8" w:space="0" w:color="000000"/>
              <w:right w:val="single" w:sz="8" w:space="0" w:color="000000"/>
            </w:tcBorders>
            <w:shd w:val="clear" w:color="auto" w:fill="auto"/>
            <w:vAlign w:val="center"/>
            <w:hideMark/>
          </w:tcPr>
          <w:p w14:paraId="0502DE7A" w14:textId="77777777" w:rsidR="00C92D41" w:rsidRPr="00EB5A40" w:rsidRDefault="00C92D41" w:rsidP="00C92D41">
            <w:pPr>
              <w:jc w:val="center"/>
              <w:rPr>
                <w:color w:val="000000"/>
                <w:sz w:val="20"/>
                <w:szCs w:val="20"/>
              </w:rPr>
            </w:pPr>
            <w:r w:rsidRPr="00EB5A40">
              <w:rPr>
                <w:color w:val="000000"/>
                <w:sz w:val="20"/>
                <w:szCs w:val="20"/>
              </w:rPr>
              <w:t>165</w:t>
            </w:r>
          </w:p>
        </w:tc>
        <w:tc>
          <w:tcPr>
            <w:tcW w:w="1908" w:type="dxa"/>
            <w:tcBorders>
              <w:top w:val="nil"/>
              <w:left w:val="nil"/>
              <w:bottom w:val="single" w:sz="8" w:space="0" w:color="000000"/>
              <w:right w:val="single" w:sz="8" w:space="0" w:color="000000"/>
            </w:tcBorders>
            <w:shd w:val="clear" w:color="auto" w:fill="auto"/>
            <w:vAlign w:val="center"/>
            <w:hideMark/>
          </w:tcPr>
          <w:p w14:paraId="5A1DB3A1" w14:textId="77777777" w:rsidR="00C92D41" w:rsidRPr="00EB5A40" w:rsidRDefault="00C92D41" w:rsidP="00C92D41">
            <w:pPr>
              <w:jc w:val="center"/>
              <w:rPr>
                <w:color w:val="000000"/>
                <w:sz w:val="20"/>
                <w:szCs w:val="20"/>
              </w:rPr>
            </w:pPr>
            <w:r w:rsidRPr="00EB5A40">
              <w:rPr>
                <w:color w:val="000000"/>
                <w:sz w:val="20"/>
                <w:szCs w:val="20"/>
              </w:rPr>
              <w:t>222</w:t>
            </w:r>
          </w:p>
        </w:tc>
        <w:tc>
          <w:tcPr>
            <w:tcW w:w="1908" w:type="dxa"/>
            <w:tcBorders>
              <w:top w:val="nil"/>
              <w:left w:val="nil"/>
              <w:bottom w:val="single" w:sz="8" w:space="0" w:color="000000"/>
              <w:right w:val="single" w:sz="8" w:space="0" w:color="000000"/>
            </w:tcBorders>
            <w:shd w:val="clear" w:color="auto" w:fill="auto"/>
            <w:vAlign w:val="center"/>
            <w:hideMark/>
          </w:tcPr>
          <w:p w14:paraId="40810200" w14:textId="77777777" w:rsidR="00C92D41" w:rsidRPr="00EB5A40" w:rsidRDefault="00C92D41" w:rsidP="00C92D41">
            <w:pPr>
              <w:jc w:val="center"/>
              <w:rPr>
                <w:color w:val="000000"/>
                <w:sz w:val="20"/>
                <w:szCs w:val="20"/>
              </w:rPr>
            </w:pPr>
            <w:r w:rsidRPr="00EB5A40">
              <w:rPr>
                <w:color w:val="000000"/>
                <w:sz w:val="20"/>
                <w:szCs w:val="20"/>
              </w:rPr>
              <w:t>303</w:t>
            </w:r>
          </w:p>
        </w:tc>
        <w:tc>
          <w:tcPr>
            <w:tcW w:w="1908" w:type="dxa"/>
            <w:tcBorders>
              <w:top w:val="nil"/>
              <w:left w:val="nil"/>
              <w:bottom w:val="single" w:sz="8" w:space="0" w:color="000000"/>
              <w:right w:val="single" w:sz="8" w:space="0" w:color="000000"/>
            </w:tcBorders>
            <w:shd w:val="clear" w:color="auto" w:fill="auto"/>
            <w:vAlign w:val="center"/>
            <w:hideMark/>
          </w:tcPr>
          <w:p w14:paraId="3036A406" w14:textId="77777777" w:rsidR="00C92D41" w:rsidRPr="00EB5A40" w:rsidRDefault="00C92D41" w:rsidP="00C92D41">
            <w:pPr>
              <w:jc w:val="center"/>
              <w:rPr>
                <w:color w:val="000000"/>
                <w:sz w:val="20"/>
                <w:szCs w:val="20"/>
              </w:rPr>
            </w:pPr>
            <w:r w:rsidRPr="00EB5A40">
              <w:rPr>
                <w:color w:val="000000"/>
                <w:sz w:val="20"/>
                <w:szCs w:val="20"/>
              </w:rPr>
              <w:t>346</w:t>
            </w:r>
          </w:p>
        </w:tc>
      </w:tr>
      <w:tr w:rsidR="00C92D41" w:rsidRPr="00C92D41" w14:paraId="55C38E6F" w14:textId="77777777" w:rsidTr="00EB5A40">
        <w:trPr>
          <w:trHeight w:val="470"/>
        </w:trPr>
        <w:tc>
          <w:tcPr>
            <w:tcW w:w="1908" w:type="dxa"/>
            <w:tcBorders>
              <w:top w:val="single" w:sz="8" w:space="0" w:color="000000"/>
              <w:left w:val="single" w:sz="8" w:space="0" w:color="000000"/>
              <w:bottom w:val="single" w:sz="8" w:space="0" w:color="000000"/>
              <w:right w:val="single" w:sz="8" w:space="0" w:color="000000"/>
            </w:tcBorders>
            <w:shd w:val="clear" w:color="auto" w:fill="CCFFCC"/>
            <w:vAlign w:val="center"/>
            <w:hideMark/>
          </w:tcPr>
          <w:p w14:paraId="07A6B412" w14:textId="77777777" w:rsidR="00C92D41" w:rsidRPr="00EB5A40" w:rsidRDefault="00C92D41" w:rsidP="00EB5A40">
            <w:pPr>
              <w:rPr>
                <w:b/>
                <w:color w:val="000000"/>
                <w:sz w:val="20"/>
                <w:szCs w:val="20"/>
              </w:rPr>
            </w:pPr>
            <w:r w:rsidRPr="00EB5A40">
              <w:rPr>
                <w:b/>
                <w:color w:val="000000"/>
                <w:sz w:val="20"/>
                <w:szCs w:val="20"/>
              </w:rPr>
              <w:t>Rate of Change</w:t>
            </w:r>
          </w:p>
        </w:tc>
        <w:tc>
          <w:tcPr>
            <w:tcW w:w="1908" w:type="dxa"/>
            <w:tcBorders>
              <w:top w:val="nil"/>
              <w:left w:val="nil"/>
              <w:bottom w:val="single" w:sz="8" w:space="0" w:color="000000"/>
              <w:right w:val="single" w:sz="8" w:space="0" w:color="000000"/>
            </w:tcBorders>
            <w:shd w:val="clear" w:color="000000" w:fill="F2F2F2"/>
            <w:vAlign w:val="center"/>
            <w:hideMark/>
          </w:tcPr>
          <w:p w14:paraId="2156C299" w14:textId="77777777" w:rsidR="00C92D41" w:rsidRPr="00EB5A40" w:rsidRDefault="00C92D41" w:rsidP="00C92D41">
            <w:pPr>
              <w:rPr>
                <w:color w:val="000000"/>
                <w:sz w:val="20"/>
                <w:szCs w:val="20"/>
              </w:rPr>
            </w:pPr>
            <w:r w:rsidRPr="00EB5A40">
              <w:rPr>
                <w:color w:val="000000"/>
                <w:sz w:val="20"/>
                <w:szCs w:val="20"/>
              </w:rPr>
              <w:t> </w:t>
            </w:r>
          </w:p>
        </w:tc>
        <w:tc>
          <w:tcPr>
            <w:tcW w:w="1908" w:type="dxa"/>
            <w:tcBorders>
              <w:top w:val="nil"/>
              <w:left w:val="nil"/>
              <w:bottom w:val="single" w:sz="8" w:space="0" w:color="000000"/>
              <w:right w:val="single" w:sz="8" w:space="0" w:color="000000"/>
            </w:tcBorders>
            <w:shd w:val="clear" w:color="auto" w:fill="auto"/>
            <w:vAlign w:val="center"/>
            <w:hideMark/>
          </w:tcPr>
          <w:p w14:paraId="187439EE" w14:textId="77777777" w:rsidR="00C92D41" w:rsidRPr="00EB5A40" w:rsidRDefault="00C92D41" w:rsidP="00C92D41">
            <w:pPr>
              <w:jc w:val="center"/>
              <w:rPr>
                <w:color w:val="000000"/>
                <w:sz w:val="20"/>
                <w:szCs w:val="20"/>
              </w:rPr>
            </w:pPr>
            <w:r w:rsidRPr="00EB5A40">
              <w:rPr>
                <w:color w:val="000000"/>
                <w:sz w:val="20"/>
                <w:szCs w:val="20"/>
              </w:rPr>
              <w:t>34.55%</w:t>
            </w:r>
          </w:p>
        </w:tc>
        <w:tc>
          <w:tcPr>
            <w:tcW w:w="1908" w:type="dxa"/>
            <w:tcBorders>
              <w:top w:val="nil"/>
              <w:left w:val="nil"/>
              <w:bottom w:val="single" w:sz="8" w:space="0" w:color="000000"/>
              <w:right w:val="single" w:sz="8" w:space="0" w:color="000000"/>
            </w:tcBorders>
            <w:shd w:val="clear" w:color="auto" w:fill="auto"/>
            <w:vAlign w:val="center"/>
            <w:hideMark/>
          </w:tcPr>
          <w:p w14:paraId="3DDF2AD7" w14:textId="77777777" w:rsidR="00C92D41" w:rsidRPr="00EB5A40" w:rsidRDefault="00C92D41" w:rsidP="00C92D41">
            <w:pPr>
              <w:jc w:val="center"/>
              <w:rPr>
                <w:color w:val="000000"/>
                <w:sz w:val="20"/>
                <w:szCs w:val="20"/>
              </w:rPr>
            </w:pPr>
            <w:r w:rsidRPr="00EB5A40">
              <w:rPr>
                <w:color w:val="000000"/>
                <w:sz w:val="20"/>
                <w:szCs w:val="20"/>
              </w:rPr>
              <w:t>36.49%</w:t>
            </w:r>
          </w:p>
        </w:tc>
        <w:tc>
          <w:tcPr>
            <w:tcW w:w="1908" w:type="dxa"/>
            <w:tcBorders>
              <w:top w:val="nil"/>
              <w:left w:val="nil"/>
              <w:bottom w:val="single" w:sz="8" w:space="0" w:color="000000"/>
              <w:right w:val="single" w:sz="8" w:space="0" w:color="000000"/>
            </w:tcBorders>
            <w:shd w:val="clear" w:color="auto" w:fill="auto"/>
            <w:vAlign w:val="center"/>
            <w:hideMark/>
          </w:tcPr>
          <w:p w14:paraId="357B499B" w14:textId="77777777" w:rsidR="00C92D41" w:rsidRPr="00EB5A40" w:rsidRDefault="00C92D41" w:rsidP="00C92D41">
            <w:pPr>
              <w:jc w:val="center"/>
              <w:rPr>
                <w:color w:val="000000"/>
                <w:sz w:val="20"/>
                <w:szCs w:val="20"/>
              </w:rPr>
            </w:pPr>
            <w:r w:rsidRPr="00EB5A40">
              <w:rPr>
                <w:color w:val="000000"/>
                <w:sz w:val="20"/>
                <w:szCs w:val="20"/>
              </w:rPr>
              <w:t>14.19%</w:t>
            </w:r>
          </w:p>
        </w:tc>
      </w:tr>
      <w:tr w:rsidR="00C92D41" w:rsidRPr="00C92D41" w14:paraId="7ECBD0B4" w14:textId="77777777" w:rsidTr="00EB5A40">
        <w:trPr>
          <w:trHeight w:val="470"/>
        </w:trPr>
        <w:tc>
          <w:tcPr>
            <w:tcW w:w="1908" w:type="dxa"/>
            <w:tcBorders>
              <w:top w:val="single" w:sz="8" w:space="0" w:color="000000"/>
              <w:left w:val="single" w:sz="8" w:space="0" w:color="000000"/>
              <w:bottom w:val="single" w:sz="8" w:space="0" w:color="000000"/>
              <w:right w:val="single" w:sz="8" w:space="0" w:color="000000"/>
            </w:tcBorders>
            <w:shd w:val="clear" w:color="auto" w:fill="CCFFCC"/>
            <w:vAlign w:val="center"/>
            <w:hideMark/>
          </w:tcPr>
          <w:p w14:paraId="4A3C0AF8" w14:textId="77777777" w:rsidR="00C92D41" w:rsidRPr="00EB5A40" w:rsidRDefault="00C92D41">
            <w:pPr>
              <w:rPr>
                <w:b/>
                <w:bCs/>
                <w:color w:val="000000"/>
                <w:sz w:val="20"/>
                <w:szCs w:val="20"/>
              </w:rPr>
            </w:pPr>
            <w:r w:rsidRPr="00EB5A40">
              <w:rPr>
                <w:b/>
                <w:bCs/>
                <w:color w:val="000000"/>
                <w:sz w:val="20"/>
                <w:szCs w:val="20"/>
              </w:rPr>
              <w:t>Penobscot County</w:t>
            </w:r>
          </w:p>
        </w:tc>
        <w:tc>
          <w:tcPr>
            <w:tcW w:w="1908" w:type="dxa"/>
            <w:tcBorders>
              <w:top w:val="nil"/>
              <w:left w:val="nil"/>
              <w:bottom w:val="single" w:sz="8" w:space="0" w:color="000000"/>
              <w:right w:val="single" w:sz="8" w:space="0" w:color="000000"/>
            </w:tcBorders>
            <w:shd w:val="clear" w:color="000000" w:fill="FFFFFF"/>
            <w:vAlign w:val="center"/>
            <w:hideMark/>
          </w:tcPr>
          <w:p w14:paraId="7C7DB357" w14:textId="77777777" w:rsidR="00C92D41" w:rsidRPr="00EB5A40" w:rsidRDefault="00C92D41" w:rsidP="00C92D41">
            <w:pPr>
              <w:jc w:val="center"/>
              <w:rPr>
                <w:color w:val="000000"/>
                <w:sz w:val="20"/>
                <w:szCs w:val="20"/>
              </w:rPr>
            </w:pPr>
            <w:r w:rsidRPr="00EB5A40">
              <w:rPr>
                <w:color w:val="000000"/>
                <w:sz w:val="20"/>
                <w:szCs w:val="20"/>
              </w:rPr>
              <w:t>45,974</w:t>
            </w:r>
          </w:p>
        </w:tc>
        <w:tc>
          <w:tcPr>
            <w:tcW w:w="1908" w:type="dxa"/>
            <w:tcBorders>
              <w:top w:val="nil"/>
              <w:left w:val="nil"/>
              <w:bottom w:val="single" w:sz="8" w:space="0" w:color="000000"/>
              <w:right w:val="single" w:sz="8" w:space="0" w:color="000000"/>
            </w:tcBorders>
            <w:shd w:val="clear" w:color="auto" w:fill="auto"/>
            <w:vAlign w:val="center"/>
            <w:hideMark/>
          </w:tcPr>
          <w:p w14:paraId="7D561C58" w14:textId="77777777" w:rsidR="00C92D41" w:rsidRPr="00EB5A40" w:rsidRDefault="00C92D41" w:rsidP="00C92D41">
            <w:pPr>
              <w:jc w:val="center"/>
              <w:rPr>
                <w:color w:val="000000"/>
                <w:sz w:val="20"/>
                <w:szCs w:val="20"/>
              </w:rPr>
            </w:pPr>
            <w:r w:rsidRPr="00EB5A40">
              <w:rPr>
                <w:color w:val="000000"/>
                <w:sz w:val="20"/>
                <w:szCs w:val="20"/>
              </w:rPr>
              <w:t>54,063</w:t>
            </w:r>
          </w:p>
        </w:tc>
        <w:tc>
          <w:tcPr>
            <w:tcW w:w="1908" w:type="dxa"/>
            <w:tcBorders>
              <w:top w:val="nil"/>
              <w:left w:val="nil"/>
              <w:bottom w:val="single" w:sz="8" w:space="0" w:color="000000"/>
              <w:right w:val="single" w:sz="8" w:space="0" w:color="000000"/>
            </w:tcBorders>
            <w:shd w:val="clear" w:color="auto" w:fill="auto"/>
            <w:vAlign w:val="center"/>
            <w:hideMark/>
          </w:tcPr>
          <w:p w14:paraId="6B8A5307" w14:textId="77777777" w:rsidR="00C92D41" w:rsidRPr="00EB5A40" w:rsidRDefault="00C92D41" w:rsidP="00C92D41">
            <w:pPr>
              <w:jc w:val="center"/>
              <w:rPr>
                <w:color w:val="000000"/>
                <w:sz w:val="20"/>
                <w:szCs w:val="20"/>
              </w:rPr>
            </w:pPr>
            <w:r w:rsidRPr="00EB5A40">
              <w:rPr>
                <w:color w:val="000000"/>
                <w:sz w:val="20"/>
                <w:szCs w:val="20"/>
              </w:rPr>
              <w:t>58,096</w:t>
            </w:r>
          </w:p>
        </w:tc>
        <w:tc>
          <w:tcPr>
            <w:tcW w:w="1908" w:type="dxa"/>
            <w:tcBorders>
              <w:top w:val="nil"/>
              <w:left w:val="nil"/>
              <w:bottom w:val="single" w:sz="8" w:space="0" w:color="000000"/>
              <w:right w:val="single" w:sz="8" w:space="0" w:color="000000"/>
            </w:tcBorders>
            <w:shd w:val="clear" w:color="auto" w:fill="auto"/>
            <w:vAlign w:val="center"/>
            <w:hideMark/>
          </w:tcPr>
          <w:p w14:paraId="34A02583" w14:textId="77777777" w:rsidR="00C92D41" w:rsidRPr="00EB5A40" w:rsidRDefault="00C92D41" w:rsidP="00C92D41">
            <w:pPr>
              <w:jc w:val="center"/>
              <w:rPr>
                <w:color w:val="000000"/>
                <w:sz w:val="20"/>
                <w:szCs w:val="20"/>
              </w:rPr>
            </w:pPr>
            <w:r w:rsidRPr="00EB5A40">
              <w:rPr>
                <w:color w:val="000000"/>
                <w:sz w:val="20"/>
                <w:szCs w:val="20"/>
              </w:rPr>
              <w:t>62,966</w:t>
            </w:r>
          </w:p>
        </w:tc>
      </w:tr>
      <w:tr w:rsidR="00C92D41" w:rsidRPr="00C92D41" w14:paraId="5A4B160A" w14:textId="77777777" w:rsidTr="00EB5A40">
        <w:trPr>
          <w:trHeight w:val="470"/>
        </w:trPr>
        <w:tc>
          <w:tcPr>
            <w:tcW w:w="1908" w:type="dxa"/>
            <w:tcBorders>
              <w:top w:val="single" w:sz="8" w:space="0" w:color="000000"/>
              <w:left w:val="single" w:sz="8" w:space="0" w:color="000000"/>
              <w:bottom w:val="single" w:sz="8" w:space="0" w:color="000000"/>
              <w:right w:val="single" w:sz="8" w:space="0" w:color="000000"/>
            </w:tcBorders>
            <w:shd w:val="clear" w:color="auto" w:fill="CCFFCC"/>
            <w:vAlign w:val="center"/>
            <w:hideMark/>
          </w:tcPr>
          <w:p w14:paraId="6C12797B" w14:textId="77777777" w:rsidR="00C92D41" w:rsidRPr="00EB5A40" w:rsidRDefault="00C92D41" w:rsidP="00EB5A40">
            <w:pPr>
              <w:rPr>
                <w:b/>
                <w:color w:val="000000"/>
                <w:sz w:val="20"/>
                <w:szCs w:val="20"/>
              </w:rPr>
            </w:pPr>
            <w:r w:rsidRPr="00EB5A40">
              <w:rPr>
                <w:b/>
                <w:color w:val="000000"/>
                <w:sz w:val="20"/>
                <w:szCs w:val="20"/>
              </w:rPr>
              <w:t>Rate of Change</w:t>
            </w:r>
          </w:p>
        </w:tc>
        <w:tc>
          <w:tcPr>
            <w:tcW w:w="1908" w:type="dxa"/>
            <w:tcBorders>
              <w:top w:val="nil"/>
              <w:left w:val="nil"/>
              <w:bottom w:val="single" w:sz="8" w:space="0" w:color="000000"/>
              <w:right w:val="single" w:sz="8" w:space="0" w:color="000000"/>
            </w:tcBorders>
            <w:shd w:val="clear" w:color="000000" w:fill="F2F2F2"/>
            <w:vAlign w:val="center"/>
            <w:hideMark/>
          </w:tcPr>
          <w:p w14:paraId="1BCB59B3" w14:textId="77777777" w:rsidR="00C92D41" w:rsidRPr="00EB5A40" w:rsidRDefault="00C92D41" w:rsidP="00C92D41">
            <w:pPr>
              <w:rPr>
                <w:color w:val="000000"/>
                <w:sz w:val="20"/>
                <w:szCs w:val="20"/>
              </w:rPr>
            </w:pPr>
            <w:r w:rsidRPr="00EB5A40">
              <w:rPr>
                <w:color w:val="000000"/>
                <w:sz w:val="20"/>
                <w:szCs w:val="20"/>
              </w:rPr>
              <w:t> </w:t>
            </w:r>
          </w:p>
        </w:tc>
        <w:tc>
          <w:tcPr>
            <w:tcW w:w="1908" w:type="dxa"/>
            <w:tcBorders>
              <w:top w:val="nil"/>
              <w:left w:val="nil"/>
              <w:bottom w:val="single" w:sz="8" w:space="0" w:color="000000"/>
              <w:right w:val="single" w:sz="8" w:space="0" w:color="000000"/>
            </w:tcBorders>
            <w:shd w:val="clear" w:color="auto" w:fill="auto"/>
            <w:vAlign w:val="center"/>
            <w:hideMark/>
          </w:tcPr>
          <w:p w14:paraId="633CDECC" w14:textId="77777777" w:rsidR="00C92D41" w:rsidRPr="00EB5A40" w:rsidRDefault="00C92D41" w:rsidP="00C92D41">
            <w:pPr>
              <w:jc w:val="center"/>
              <w:rPr>
                <w:color w:val="000000"/>
                <w:sz w:val="20"/>
                <w:szCs w:val="20"/>
              </w:rPr>
            </w:pPr>
            <w:r w:rsidRPr="00EB5A40">
              <w:rPr>
                <w:color w:val="000000"/>
                <w:sz w:val="20"/>
                <w:szCs w:val="20"/>
              </w:rPr>
              <w:t>17.59%</w:t>
            </w:r>
          </w:p>
        </w:tc>
        <w:tc>
          <w:tcPr>
            <w:tcW w:w="1908" w:type="dxa"/>
            <w:tcBorders>
              <w:top w:val="nil"/>
              <w:left w:val="nil"/>
              <w:bottom w:val="single" w:sz="8" w:space="0" w:color="000000"/>
              <w:right w:val="single" w:sz="8" w:space="0" w:color="000000"/>
            </w:tcBorders>
            <w:shd w:val="clear" w:color="auto" w:fill="auto"/>
            <w:vAlign w:val="center"/>
            <w:hideMark/>
          </w:tcPr>
          <w:p w14:paraId="313C2FD9" w14:textId="77777777" w:rsidR="00C92D41" w:rsidRPr="00EB5A40" w:rsidRDefault="00C92D41" w:rsidP="00C92D41">
            <w:pPr>
              <w:jc w:val="center"/>
              <w:rPr>
                <w:color w:val="000000"/>
                <w:sz w:val="20"/>
                <w:szCs w:val="20"/>
              </w:rPr>
            </w:pPr>
            <w:r w:rsidRPr="00EB5A40">
              <w:rPr>
                <w:color w:val="000000"/>
                <w:sz w:val="20"/>
                <w:szCs w:val="20"/>
              </w:rPr>
              <w:t>7.46%</w:t>
            </w:r>
          </w:p>
        </w:tc>
        <w:tc>
          <w:tcPr>
            <w:tcW w:w="1908" w:type="dxa"/>
            <w:tcBorders>
              <w:top w:val="nil"/>
              <w:left w:val="nil"/>
              <w:bottom w:val="single" w:sz="8" w:space="0" w:color="000000"/>
              <w:right w:val="single" w:sz="8" w:space="0" w:color="000000"/>
            </w:tcBorders>
            <w:shd w:val="clear" w:color="auto" w:fill="auto"/>
            <w:vAlign w:val="center"/>
            <w:hideMark/>
          </w:tcPr>
          <w:p w14:paraId="6D045559" w14:textId="77777777" w:rsidR="00C92D41" w:rsidRPr="00EB5A40" w:rsidRDefault="00C92D41" w:rsidP="00C92D41">
            <w:pPr>
              <w:jc w:val="center"/>
              <w:rPr>
                <w:color w:val="000000"/>
                <w:sz w:val="20"/>
                <w:szCs w:val="20"/>
              </w:rPr>
            </w:pPr>
            <w:r w:rsidRPr="00EB5A40">
              <w:rPr>
                <w:color w:val="000000"/>
                <w:sz w:val="20"/>
                <w:szCs w:val="20"/>
              </w:rPr>
              <w:t>8.38%</w:t>
            </w:r>
          </w:p>
        </w:tc>
      </w:tr>
      <w:tr w:rsidR="00C92D41" w:rsidRPr="00C92D41" w14:paraId="373C3F95" w14:textId="77777777" w:rsidTr="00EB5A40">
        <w:trPr>
          <w:trHeight w:val="470"/>
        </w:trPr>
        <w:tc>
          <w:tcPr>
            <w:tcW w:w="1908" w:type="dxa"/>
            <w:tcBorders>
              <w:top w:val="single" w:sz="8" w:space="0" w:color="000000"/>
              <w:left w:val="single" w:sz="8" w:space="0" w:color="000000"/>
              <w:bottom w:val="single" w:sz="8" w:space="0" w:color="000000"/>
              <w:right w:val="single" w:sz="8" w:space="0" w:color="000000"/>
            </w:tcBorders>
            <w:shd w:val="clear" w:color="auto" w:fill="CCFFCC"/>
            <w:vAlign w:val="center"/>
            <w:hideMark/>
          </w:tcPr>
          <w:p w14:paraId="0D996E41" w14:textId="77777777" w:rsidR="00C92D41" w:rsidRPr="00EB5A40" w:rsidRDefault="00C92D41">
            <w:pPr>
              <w:rPr>
                <w:b/>
                <w:bCs/>
                <w:color w:val="000000"/>
                <w:sz w:val="20"/>
                <w:szCs w:val="20"/>
              </w:rPr>
            </w:pPr>
            <w:r w:rsidRPr="00EB5A40">
              <w:rPr>
                <w:b/>
                <w:bCs/>
                <w:color w:val="000000"/>
                <w:sz w:val="20"/>
                <w:szCs w:val="20"/>
              </w:rPr>
              <w:t>Hancock County</w:t>
            </w:r>
          </w:p>
        </w:tc>
        <w:tc>
          <w:tcPr>
            <w:tcW w:w="1908" w:type="dxa"/>
            <w:tcBorders>
              <w:top w:val="nil"/>
              <w:left w:val="nil"/>
              <w:bottom w:val="single" w:sz="8" w:space="0" w:color="000000"/>
              <w:right w:val="single" w:sz="8" w:space="0" w:color="000000"/>
            </w:tcBorders>
            <w:shd w:val="clear" w:color="auto" w:fill="auto"/>
            <w:vAlign w:val="center"/>
            <w:hideMark/>
          </w:tcPr>
          <w:p w14:paraId="52276750" w14:textId="77777777" w:rsidR="00C92D41" w:rsidRPr="00EB5A40" w:rsidRDefault="00C92D41" w:rsidP="00C92D41">
            <w:pPr>
              <w:jc w:val="center"/>
              <w:rPr>
                <w:color w:val="000000"/>
                <w:sz w:val="20"/>
                <w:szCs w:val="20"/>
              </w:rPr>
            </w:pPr>
            <w:r w:rsidRPr="00EB5A40">
              <w:rPr>
                <w:color w:val="000000"/>
                <w:sz w:val="20"/>
                <w:szCs w:val="20"/>
              </w:rPr>
              <w:t>15,411</w:t>
            </w:r>
          </w:p>
        </w:tc>
        <w:tc>
          <w:tcPr>
            <w:tcW w:w="1908" w:type="dxa"/>
            <w:tcBorders>
              <w:top w:val="nil"/>
              <w:left w:val="nil"/>
              <w:bottom w:val="single" w:sz="8" w:space="0" w:color="000000"/>
              <w:right w:val="single" w:sz="8" w:space="0" w:color="000000"/>
            </w:tcBorders>
            <w:shd w:val="clear" w:color="auto" w:fill="auto"/>
            <w:vAlign w:val="center"/>
            <w:hideMark/>
          </w:tcPr>
          <w:p w14:paraId="4CB34EA4" w14:textId="77777777" w:rsidR="00C92D41" w:rsidRPr="00EB5A40" w:rsidRDefault="00C92D41" w:rsidP="00C92D41">
            <w:pPr>
              <w:jc w:val="center"/>
              <w:rPr>
                <w:color w:val="000000"/>
                <w:sz w:val="20"/>
                <w:szCs w:val="20"/>
              </w:rPr>
            </w:pPr>
            <w:r w:rsidRPr="00EB5A40">
              <w:rPr>
                <w:color w:val="000000"/>
                <w:sz w:val="20"/>
                <w:szCs w:val="20"/>
              </w:rPr>
              <w:t>18,342</w:t>
            </w:r>
          </w:p>
        </w:tc>
        <w:tc>
          <w:tcPr>
            <w:tcW w:w="1908" w:type="dxa"/>
            <w:tcBorders>
              <w:top w:val="nil"/>
              <w:left w:val="nil"/>
              <w:bottom w:val="single" w:sz="8" w:space="0" w:color="000000"/>
              <w:right w:val="single" w:sz="8" w:space="0" w:color="000000"/>
            </w:tcBorders>
            <w:shd w:val="clear" w:color="auto" w:fill="auto"/>
            <w:vAlign w:val="center"/>
            <w:hideMark/>
          </w:tcPr>
          <w:p w14:paraId="15DCB69B" w14:textId="77777777" w:rsidR="00C92D41" w:rsidRPr="00EB5A40" w:rsidRDefault="00C92D41" w:rsidP="00C92D41">
            <w:pPr>
              <w:jc w:val="center"/>
              <w:rPr>
                <w:color w:val="000000"/>
                <w:sz w:val="20"/>
                <w:szCs w:val="20"/>
              </w:rPr>
            </w:pPr>
            <w:r w:rsidRPr="00EB5A40">
              <w:rPr>
                <w:color w:val="000000"/>
                <w:sz w:val="20"/>
                <w:szCs w:val="20"/>
              </w:rPr>
              <w:t>21,864</w:t>
            </w:r>
          </w:p>
        </w:tc>
        <w:tc>
          <w:tcPr>
            <w:tcW w:w="1908" w:type="dxa"/>
            <w:tcBorders>
              <w:top w:val="nil"/>
              <w:left w:val="nil"/>
              <w:bottom w:val="single" w:sz="8" w:space="0" w:color="000000"/>
              <w:right w:val="single" w:sz="8" w:space="0" w:color="000000"/>
            </w:tcBorders>
            <w:shd w:val="clear" w:color="auto" w:fill="auto"/>
            <w:vAlign w:val="center"/>
            <w:hideMark/>
          </w:tcPr>
          <w:p w14:paraId="4F5627A8" w14:textId="77777777" w:rsidR="00C92D41" w:rsidRPr="00EB5A40" w:rsidRDefault="00C92D41" w:rsidP="00C92D41">
            <w:pPr>
              <w:jc w:val="center"/>
              <w:rPr>
                <w:color w:val="000000"/>
                <w:sz w:val="20"/>
                <w:szCs w:val="20"/>
              </w:rPr>
            </w:pPr>
            <w:r w:rsidRPr="00EB5A40">
              <w:rPr>
                <w:color w:val="000000"/>
                <w:sz w:val="20"/>
                <w:szCs w:val="20"/>
              </w:rPr>
              <w:t>24,221</w:t>
            </w:r>
          </w:p>
        </w:tc>
      </w:tr>
      <w:tr w:rsidR="00C92D41" w:rsidRPr="00C92D41" w14:paraId="11E9734B" w14:textId="77777777" w:rsidTr="00EB5A40">
        <w:trPr>
          <w:trHeight w:val="470"/>
        </w:trPr>
        <w:tc>
          <w:tcPr>
            <w:tcW w:w="1908" w:type="dxa"/>
            <w:tcBorders>
              <w:top w:val="single" w:sz="8" w:space="0" w:color="000000"/>
              <w:left w:val="single" w:sz="8" w:space="0" w:color="000000"/>
              <w:bottom w:val="single" w:sz="8" w:space="0" w:color="000000"/>
              <w:right w:val="single" w:sz="8" w:space="0" w:color="000000"/>
            </w:tcBorders>
            <w:shd w:val="clear" w:color="auto" w:fill="CCFFCC"/>
            <w:vAlign w:val="center"/>
            <w:hideMark/>
          </w:tcPr>
          <w:p w14:paraId="1D601205" w14:textId="77777777" w:rsidR="00C92D41" w:rsidRPr="00EB5A40" w:rsidRDefault="00C92D41" w:rsidP="00EB5A40">
            <w:pPr>
              <w:rPr>
                <w:b/>
                <w:color w:val="000000"/>
                <w:sz w:val="20"/>
                <w:szCs w:val="20"/>
              </w:rPr>
            </w:pPr>
            <w:r w:rsidRPr="00EB5A40">
              <w:rPr>
                <w:b/>
                <w:color w:val="000000"/>
                <w:sz w:val="20"/>
                <w:szCs w:val="20"/>
              </w:rPr>
              <w:t>Rate of Change</w:t>
            </w:r>
          </w:p>
        </w:tc>
        <w:tc>
          <w:tcPr>
            <w:tcW w:w="1908" w:type="dxa"/>
            <w:tcBorders>
              <w:top w:val="nil"/>
              <w:left w:val="nil"/>
              <w:bottom w:val="single" w:sz="8" w:space="0" w:color="000000"/>
              <w:right w:val="single" w:sz="8" w:space="0" w:color="000000"/>
            </w:tcBorders>
            <w:shd w:val="clear" w:color="000000" w:fill="F2F2F2"/>
            <w:vAlign w:val="center"/>
            <w:hideMark/>
          </w:tcPr>
          <w:p w14:paraId="09A009F5" w14:textId="77777777" w:rsidR="00C92D41" w:rsidRPr="00EB5A40" w:rsidRDefault="00C92D41" w:rsidP="00C92D41">
            <w:pPr>
              <w:rPr>
                <w:color w:val="000000"/>
                <w:sz w:val="20"/>
                <w:szCs w:val="20"/>
              </w:rPr>
            </w:pPr>
            <w:r w:rsidRPr="00EB5A40">
              <w:rPr>
                <w:color w:val="000000"/>
                <w:sz w:val="20"/>
                <w:szCs w:val="20"/>
              </w:rPr>
              <w:t> </w:t>
            </w:r>
          </w:p>
        </w:tc>
        <w:tc>
          <w:tcPr>
            <w:tcW w:w="1908" w:type="dxa"/>
            <w:tcBorders>
              <w:top w:val="nil"/>
              <w:left w:val="nil"/>
              <w:bottom w:val="single" w:sz="8" w:space="0" w:color="000000"/>
              <w:right w:val="single" w:sz="8" w:space="0" w:color="000000"/>
            </w:tcBorders>
            <w:shd w:val="clear" w:color="auto" w:fill="auto"/>
            <w:vAlign w:val="center"/>
            <w:hideMark/>
          </w:tcPr>
          <w:p w14:paraId="5BAAC20F" w14:textId="77777777" w:rsidR="00C92D41" w:rsidRPr="00EB5A40" w:rsidRDefault="00C92D41" w:rsidP="00C92D41">
            <w:pPr>
              <w:jc w:val="center"/>
              <w:rPr>
                <w:color w:val="000000"/>
                <w:sz w:val="20"/>
                <w:szCs w:val="20"/>
              </w:rPr>
            </w:pPr>
            <w:r w:rsidRPr="00EB5A40">
              <w:rPr>
                <w:color w:val="000000"/>
                <w:sz w:val="20"/>
                <w:szCs w:val="20"/>
              </w:rPr>
              <w:t>19.02%</w:t>
            </w:r>
          </w:p>
        </w:tc>
        <w:tc>
          <w:tcPr>
            <w:tcW w:w="1908" w:type="dxa"/>
            <w:tcBorders>
              <w:top w:val="nil"/>
              <w:left w:val="nil"/>
              <w:bottom w:val="single" w:sz="8" w:space="0" w:color="000000"/>
              <w:right w:val="single" w:sz="8" w:space="0" w:color="000000"/>
            </w:tcBorders>
            <w:shd w:val="clear" w:color="auto" w:fill="auto"/>
            <w:vAlign w:val="center"/>
            <w:hideMark/>
          </w:tcPr>
          <w:p w14:paraId="40E3B348" w14:textId="77777777" w:rsidR="00C92D41" w:rsidRPr="00EB5A40" w:rsidRDefault="00C92D41" w:rsidP="00C92D41">
            <w:pPr>
              <w:jc w:val="center"/>
              <w:rPr>
                <w:color w:val="000000"/>
                <w:sz w:val="20"/>
                <w:szCs w:val="20"/>
              </w:rPr>
            </w:pPr>
            <w:r w:rsidRPr="00EB5A40">
              <w:rPr>
                <w:color w:val="000000"/>
                <w:sz w:val="20"/>
                <w:szCs w:val="20"/>
              </w:rPr>
              <w:t>19.20%</w:t>
            </w:r>
          </w:p>
        </w:tc>
        <w:tc>
          <w:tcPr>
            <w:tcW w:w="1908" w:type="dxa"/>
            <w:tcBorders>
              <w:top w:val="nil"/>
              <w:left w:val="nil"/>
              <w:bottom w:val="single" w:sz="8" w:space="0" w:color="000000"/>
              <w:right w:val="single" w:sz="8" w:space="0" w:color="000000"/>
            </w:tcBorders>
            <w:shd w:val="clear" w:color="auto" w:fill="auto"/>
            <w:vAlign w:val="center"/>
            <w:hideMark/>
          </w:tcPr>
          <w:p w14:paraId="7A61B854" w14:textId="77777777" w:rsidR="00C92D41" w:rsidRPr="00EB5A40" w:rsidRDefault="00C92D41" w:rsidP="00C92D41">
            <w:pPr>
              <w:jc w:val="center"/>
              <w:rPr>
                <w:color w:val="000000"/>
                <w:sz w:val="20"/>
                <w:szCs w:val="20"/>
              </w:rPr>
            </w:pPr>
            <w:r w:rsidRPr="00EB5A40">
              <w:rPr>
                <w:color w:val="000000"/>
                <w:sz w:val="20"/>
                <w:szCs w:val="20"/>
              </w:rPr>
              <w:t>10.78%</w:t>
            </w:r>
          </w:p>
        </w:tc>
      </w:tr>
      <w:tr w:rsidR="00C92D41" w:rsidRPr="00C92D41" w14:paraId="0F1E21A4" w14:textId="77777777" w:rsidTr="00EB5A40">
        <w:trPr>
          <w:trHeight w:val="470"/>
        </w:trPr>
        <w:tc>
          <w:tcPr>
            <w:tcW w:w="1908" w:type="dxa"/>
            <w:tcBorders>
              <w:top w:val="single" w:sz="8" w:space="0" w:color="000000"/>
              <w:left w:val="single" w:sz="8" w:space="0" w:color="000000"/>
              <w:bottom w:val="single" w:sz="8" w:space="0" w:color="000000"/>
              <w:right w:val="single" w:sz="8" w:space="0" w:color="000000"/>
            </w:tcBorders>
            <w:shd w:val="clear" w:color="auto" w:fill="CCFFCC"/>
            <w:vAlign w:val="center"/>
            <w:hideMark/>
          </w:tcPr>
          <w:p w14:paraId="43F8B2A0" w14:textId="77777777" w:rsidR="00C92D41" w:rsidRPr="00EB5A40" w:rsidRDefault="00C92D41">
            <w:pPr>
              <w:rPr>
                <w:b/>
                <w:bCs/>
                <w:color w:val="000000"/>
                <w:sz w:val="20"/>
                <w:szCs w:val="20"/>
              </w:rPr>
            </w:pPr>
            <w:r w:rsidRPr="00EB5A40">
              <w:rPr>
                <w:b/>
                <w:bCs/>
                <w:color w:val="000000"/>
                <w:sz w:val="20"/>
                <w:szCs w:val="20"/>
              </w:rPr>
              <w:t>State of Maine</w:t>
            </w:r>
          </w:p>
        </w:tc>
        <w:tc>
          <w:tcPr>
            <w:tcW w:w="1908" w:type="dxa"/>
            <w:tcBorders>
              <w:top w:val="nil"/>
              <w:left w:val="nil"/>
              <w:bottom w:val="single" w:sz="8" w:space="0" w:color="000000"/>
              <w:right w:val="single" w:sz="8" w:space="0" w:color="000000"/>
            </w:tcBorders>
            <w:shd w:val="clear" w:color="auto" w:fill="auto"/>
            <w:vAlign w:val="center"/>
            <w:hideMark/>
          </w:tcPr>
          <w:p w14:paraId="36E98EAD" w14:textId="77777777" w:rsidR="00C92D41" w:rsidRPr="00EB5A40" w:rsidRDefault="00C92D41" w:rsidP="00C92D41">
            <w:pPr>
              <w:jc w:val="center"/>
              <w:rPr>
                <w:color w:val="000000"/>
                <w:sz w:val="20"/>
                <w:szCs w:val="20"/>
              </w:rPr>
            </w:pPr>
            <w:r w:rsidRPr="00EB5A40">
              <w:rPr>
                <w:color w:val="000000"/>
                <w:sz w:val="20"/>
                <w:szCs w:val="20"/>
              </w:rPr>
              <w:t>395,184</w:t>
            </w:r>
          </w:p>
        </w:tc>
        <w:tc>
          <w:tcPr>
            <w:tcW w:w="1908" w:type="dxa"/>
            <w:tcBorders>
              <w:top w:val="nil"/>
              <w:left w:val="nil"/>
              <w:bottom w:val="single" w:sz="8" w:space="0" w:color="000000"/>
              <w:right w:val="single" w:sz="8" w:space="0" w:color="000000"/>
            </w:tcBorders>
            <w:shd w:val="clear" w:color="auto" w:fill="auto"/>
            <w:vAlign w:val="center"/>
            <w:hideMark/>
          </w:tcPr>
          <w:p w14:paraId="39134190" w14:textId="77777777" w:rsidR="00C92D41" w:rsidRPr="00EB5A40" w:rsidRDefault="00C92D41" w:rsidP="00C92D41">
            <w:pPr>
              <w:jc w:val="center"/>
              <w:rPr>
                <w:color w:val="000000"/>
                <w:sz w:val="20"/>
                <w:szCs w:val="20"/>
              </w:rPr>
            </w:pPr>
            <w:r w:rsidRPr="00EB5A40">
              <w:rPr>
                <w:color w:val="000000"/>
                <w:sz w:val="20"/>
                <w:szCs w:val="20"/>
              </w:rPr>
              <w:t>465,312</w:t>
            </w:r>
          </w:p>
        </w:tc>
        <w:tc>
          <w:tcPr>
            <w:tcW w:w="1908" w:type="dxa"/>
            <w:tcBorders>
              <w:top w:val="nil"/>
              <w:left w:val="nil"/>
              <w:bottom w:val="single" w:sz="8" w:space="0" w:color="000000"/>
              <w:right w:val="single" w:sz="8" w:space="0" w:color="000000"/>
            </w:tcBorders>
            <w:shd w:val="clear" w:color="auto" w:fill="auto"/>
            <w:vAlign w:val="center"/>
            <w:hideMark/>
          </w:tcPr>
          <w:p w14:paraId="32C70C6D" w14:textId="77777777" w:rsidR="00C92D41" w:rsidRPr="00EB5A40" w:rsidRDefault="00C92D41" w:rsidP="00C92D41">
            <w:pPr>
              <w:jc w:val="center"/>
              <w:rPr>
                <w:color w:val="000000"/>
                <w:sz w:val="20"/>
                <w:szCs w:val="20"/>
              </w:rPr>
            </w:pPr>
            <w:r w:rsidRPr="00EB5A40">
              <w:rPr>
                <w:color w:val="000000"/>
                <w:sz w:val="20"/>
                <w:szCs w:val="20"/>
              </w:rPr>
              <w:t>518,200</w:t>
            </w:r>
          </w:p>
        </w:tc>
        <w:tc>
          <w:tcPr>
            <w:tcW w:w="1908" w:type="dxa"/>
            <w:tcBorders>
              <w:top w:val="nil"/>
              <w:left w:val="nil"/>
              <w:bottom w:val="single" w:sz="8" w:space="0" w:color="000000"/>
              <w:right w:val="single" w:sz="8" w:space="0" w:color="000000"/>
            </w:tcBorders>
            <w:shd w:val="clear" w:color="auto" w:fill="auto"/>
            <w:vAlign w:val="center"/>
            <w:hideMark/>
          </w:tcPr>
          <w:p w14:paraId="193486A5" w14:textId="77777777" w:rsidR="00C92D41" w:rsidRPr="00EB5A40" w:rsidRDefault="00C92D41" w:rsidP="00C92D41">
            <w:pPr>
              <w:jc w:val="center"/>
              <w:rPr>
                <w:color w:val="000000"/>
                <w:sz w:val="20"/>
                <w:szCs w:val="20"/>
              </w:rPr>
            </w:pPr>
            <w:r w:rsidRPr="00EB5A40">
              <w:rPr>
                <w:color w:val="000000"/>
                <w:sz w:val="20"/>
                <w:szCs w:val="20"/>
              </w:rPr>
              <w:t>557,219</w:t>
            </w:r>
          </w:p>
        </w:tc>
      </w:tr>
      <w:tr w:rsidR="00C92D41" w:rsidRPr="00C92D41" w14:paraId="065BF285" w14:textId="77777777" w:rsidTr="00EB5A40">
        <w:trPr>
          <w:trHeight w:val="470"/>
        </w:trPr>
        <w:tc>
          <w:tcPr>
            <w:tcW w:w="1908" w:type="dxa"/>
            <w:tcBorders>
              <w:top w:val="single" w:sz="8" w:space="0" w:color="000000"/>
              <w:left w:val="single" w:sz="8" w:space="0" w:color="000000"/>
              <w:bottom w:val="single" w:sz="8" w:space="0" w:color="000000"/>
              <w:right w:val="single" w:sz="8" w:space="0" w:color="000000"/>
            </w:tcBorders>
            <w:shd w:val="clear" w:color="auto" w:fill="CCFFCC"/>
            <w:vAlign w:val="center"/>
            <w:hideMark/>
          </w:tcPr>
          <w:p w14:paraId="11FD3ED0" w14:textId="77777777" w:rsidR="00C92D41" w:rsidRPr="00EB5A40" w:rsidRDefault="00C92D41" w:rsidP="00EB5A40">
            <w:pPr>
              <w:rPr>
                <w:b/>
                <w:color w:val="000000"/>
                <w:sz w:val="20"/>
                <w:szCs w:val="20"/>
              </w:rPr>
            </w:pPr>
            <w:r w:rsidRPr="00EB5A40">
              <w:rPr>
                <w:b/>
                <w:color w:val="000000"/>
                <w:sz w:val="20"/>
                <w:szCs w:val="20"/>
              </w:rPr>
              <w:t>Rate of Change</w:t>
            </w:r>
          </w:p>
        </w:tc>
        <w:tc>
          <w:tcPr>
            <w:tcW w:w="1908" w:type="dxa"/>
            <w:tcBorders>
              <w:top w:val="nil"/>
              <w:left w:val="nil"/>
              <w:bottom w:val="single" w:sz="8" w:space="0" w:color="000000"/>
              <w:right w:val="single" w:sz="8" w:space="0" w:color="000000"/>
            </w:tcBorders>
            <w:shd w:val="clear" w:color="000000" w:fill="F2F2F2"/>
            <w:vAlign w:val="center"/>
            <w:hideMark/>
          </w:tcPr>
          <w:p w14:paraId="3B5F67D0" w14:textId="77777777" w:rsidR="00C92D41" w:rsidRPr="00EB5A40" w:rsidRDefault="00C92D41" w:rsidP="00C92D41">
            <w:pPr>
              <w:rPr>
                <w:color w:val="000000"/>
                <w:sz w:val="20"/>
                <w:szCs w:val="20"/>
              </w:rPr>
            </w:pPr>
            <w:r w:rsidRPr="00EB5A40">
              <w:rPr>
                <w:color w:val="000000"/>
                <w:sz w:val="20"/>
                <w:szCs w:val="20"/>
              </w:rPr>
              <w:t> </w:t>
            </w:r>
          </w:p>
        </w:tc>
        <w:tc>
          <w:tcPr>
            <w:tcW w:w="1908" w:type="dxa"/>
            <w:tcBorders>
              <w:top w:val="nil"/>
              <w:left w:val="nil"/>
              <w:bottom w:val="single" w:sz="8" w:space="0" w:color="000000"/>
              <w:right w:val="single" w:sz="8" w:space="0" w:color="000000"/>
            </w:tcBorders>
            <w:shd w:val="clear" w:color="auto" w:fill="auto"/>
            <w:vAlign w:val="center"/>
            <w:hideMark/>
          </w:tcPr>
          <w:p w14:paraId="561E5D85" w14:textId="77777777" w:rsidR="00C92D41" w:rsidRPr="00EB5A40" w:rsidRDefault="00C92D41" w:rsidP="00C92D41">
            <w:pPr>
              <w:jc w:val="center"/>
              <w:rPr>
                <w:color w:val="000000"/>
                <w:sz w:val="20"/>
                <w:szCs w:val="20"/>
              </w:rPr>
            </w:pPr>
            <w:r w:rsidRPr="00EB5A40">
              <w:rPr>
                <w:color w:val="000000"/>
                <w:sz w:val="20"/>
                <w:szCs w:val="20"/>
              </w:rPr>
              <w:t>17.75%</w:t>
            </w:r>
          </w:p>
        </w:tc>
        <w:tc>
          <w:tcPr>
            <w:tcW w:w="1908" w:type="dxa"/>
            <w:tcBorders>
              <w:top w:val="nil"/>
              <w:left w:val="nil"/>
              <w:bottom w:val="single" w:sz="8" w:space="0" w:color="000000"/>
              <w:right w:val="single" w:sz="8" w:space="0" w:color="000000"/>
            </w:tcBorders>
            <w:shd w:val="clear" w:color="auto" w:fill="auto"/>
            <w:vAlign w:val="center"/>
            <w:hideMark/>
          </w:tcPr>
          <w:p w14:paraId="65F691AE" w14:textId="77777777" w:rsidR="00C92D41" w:rsidRPr="00EB5A40" w:rsidRDefault="00C92D41" w:rsidP="00C92D41">
            <w:pPr>
              <w:jc w:val="center"/>
              <w:rPr>
                <w:color w:val="000000"/>
                <w:sz w:val="20"/>
                <w:szCs w:val="20"/>
              </w:rPr>
            </w:pPr>
            <w:r w:rsidRPr="00EB5A40">
              <w:rPr>
                <w:color w:val="000000"/>
                <w:sz w:val="20"/>
                <w:szCs w:val="20"/>
              </w:rPr>
              <w:t>11.37%</w:t>
            </w:r>
          </w:p>
        </w:tc>
        <w:tc>
          <w:tcPr>
            <w:tcW w:w="1908" w:type="dxa"/>
            <w:tcBorders>
              <w:top w:val="nil"/>
              <w:left w:val="nil"/>
              <w:bottom w:val="single" w:sz="8" w:space="0" w:color="000000"/>
              <w:right w:val="single" w:sz="8" w:space="0" w:color="000000"/>
            </w:tcBorders>
            <w:shd w:val="clear" w:color="auto" w:fill="auto"/>
            <w:vAlign w:val="center"/>
            <w:hideMark/>
          </w:tcPr>
          <w:p w14:paraId="3F3F9C4C" w14:textId="77777777" w:rsidR="00C92D41" w:rsidRPr="00EB5A40" w:rsidRDefault="00C92D41" w:rsidP="00C92D41">
            <w:pPr>
              <w:jc w:val="center"/>
              <w:rPr>
                <w:color w:val="000000"/>
                <w:sz w:val="20"/>
                <w:szCs w:val="20"/>
              </w:rPr>
            </w:pPr>
            <w:r w:rsidRPr="00EB5A40">
              <w:rPr>
                <w:color w:val="000000"/>
                <w:sz w:val="20"/>
                <w:szCs w:val="20"/>
              </w:rPr>
              <w:t>7.53%</w:t>
            </w:r>
          </w:p>
        </w:tc>
      </w:tr>
    </w:tbl>
    <w:p w14:paraId="277680AA" w14:textId="77777777" w:rsidR="00721BA0" w:rsidRDefault="00721BA0" w:rsidP="005C2AE0">
      <w:pPr>
        <w:widowControl w:val="0"/>
        <w:spacing w:after="120"/>
      </w:pPr>
    </w:p>
    <w:p w14:paraId="5E1D87B1" w14:textId="46E6B802" w:rsidR="00C92D41" w:rsidRDefault="00C92D41" w:rsidP="005C2AE0">
      <w:pPr>
        <w:widowControl w:val="0"/>
        <w:spacing w:after="120"/>
      </w:pPr>
      <w:r>
        <w:tab/>
      </w:r>
      <w:r w:rsidRPr="00C92D41">
        <w:t xml:space="preserve">After decreasing over the previous two decades, the average number of people per household in Clifton is estimated to have increased in recent years, from 2.3 in 2010 to 2.64 in 2015. </w:t>
      </w:r>
      <w:r>
        <w:t xml:space="preserve"> </w:t>
      </w:r>
      <w:r w:rsidRPr="00C92D41">
        <w:t>The State of Maine as a whole and Penobscot and Hancock Counties are exhibiting the same trends in household size</w:t>
      </w:r>
      <w:r>
        <w:t>.</w:t>
      </w:r>
    </w:p>
    <w:tbl>
      <w:tblPr>
        <w:tblW w:w="95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1908"/>
        <w:gridCol w:w="1908"/>
        <w:gridCol w:w="1908"/>
        <w:gridCol w:w="1908"/>
      </w:tblGrid>
      <w:tr w:rsidR="00C92D41" w:rsidRPr="00C92D41" w14:paraId="7C6968D9" w14:textId="77777777" w:rsidTr="00EB5A40">
        <w:trPr>
          <w:trHeight w:val="475"/>
        </w:trPr>
        <w:tc>
          <w:tcPr>
            <w:tcW w:w="9540" w:type="dxa"/>
            <w:gridSpan w:val="5"/>
            <w:shd w:val="clear" w:color="auto" w:fill="CCFFCC"/>
          </w:tcPr>
          <w:p w14:paraId="43A718A6" w14:textId="584A6F28" w:rsidR="00C92D41" w:rsidRPr="00EB5A40" w:rsidRDefault="00C92D41" w:rsidP="00C92D41">
            <w:pPr>
              <w:pStyle w:val="TableParagraph"/>
              <w:keepNext/>
              <w:keepLines/>
              <w:spacing w:before="200" w:line="275" w:lineRule="exact"/>
              <w:ind w:left="161" w:right="161"/>
              <w:outlineLvl w:val="6"/>
              <w:rPr>
                <w:rFonts w:asciiTheme="majorHAnsi" w:hAnsiTheme="majorHAnsi"/>
                <w:b/>
                <w:sz w:val="20"/>
                <w:szCs w:val="20"/>
              </w:rPr>
            </w:pPr>
            <w:r w:rsidRPr="00EB5A40">
              <w:rPr>
                <w:rFonts w:asciiTheme="majorHAnsi" w:hAnsiTheme="majorHAnsi"/>
                <w:b/>
                <w:sz w:val="20"/>
                <w:szCs w:val="20"/>
              </w:rPr>
              <w:t>PEOPLE PER HOUSEHOLD</w:t>
            </w:r>
          </w:p>
        </w:tc>
      </w:tr>
      <w:tr w:rsidR="00C92D41" w:rsidRPr="00C92D41" w14:paraId="0F496759" w14:textId="77777777" w:rsidTr="00EB5A40">
        <w:trPr>
          <w:trHeight w:val="475"/>
        </w:trPr>
        <w:tc>
          <w:tcPr>
            <w:tcW w:w="1908" w:type="dxa"/>
            <w:shd w:val="clear" w:color="auto" w:fill="CCFFCC"/>
          </w:tcPr>
          <w:p w14:paraId="77E59AE5" w14:textId="77777777" w:rsidR="00C92D41" w:rsidRPr="00EB5A40" w:rsidRDefault="00C92D41" w:rsidP="00EB5A40">
            <w:pPr>
              <w:pStyle w:val="TableParagraph"/>
              <w:tabs>
                <w:tab w:val="center" w:pos="4680"/>
                <w:tab w:val="right" w:pos="9360"/>
              </w:tabs>
              <w:spacing w:line="240" w:lineRule="auto"/>
              <w:jc w:val="left"/>
              <w:rPr>
                <w:rFonts w:asciiTheme="majorHAnsi" w:hAnsiTheme="majorHAnsi"/>
                <w:b/>
                <w:sz w:val="20"/>
                <w:szCs w:val="20"/>
              </w:rPr>
            </w:pPr>
          </w:p>
        </w:tc>
        <w:tc>
          <w:tcPr>
            <w:tcW w:w="1908" w:type="dxa"/>
            <w:vAlign w:val="center"/>
          </w:tcPr>
          <w:p w14:paraId="3E743801" w14:textId="77777777" w:rsidR="00C92D41" w:rsidRPr="00EB5A40" w:rsidRDefault="00C92D41" w:rsidP="00C92D41">
            <w:pPr>
              <w:pStyle w:val="TableParagraph"/>
              <w:spacing w:line="275" w:lineRule="exact"/>
              <w:ind w:right="483"/>
              <w:jc w:val="right"/>
              <w:rPr>
                <w:rFonts w:asciiTheme="majorHAnsi" w:hAnsiTheme="majorHAnsi"/>
                <w:b/>
                <w:sz w:val="20"/>
                <w:szCs w:val="20"/>
              </w:rPr>
            </w:pPr>
            <w:r w:rsidRPr="00EB5A40">
              <w:rPr>
                <w:rFonts w:asciiTheme="majorHAnsi" w:hAnsiTheme="majorHAnsi"/>
                <w:b/>
                <w:sz w:val="20"/>
                <w:szCs w:val="20"/>
              </w:rPr>
              <w:t>1990</w:t>
            </w:r>
          </w:p>
        </w:tc>
        <w:tc>
          <w:tcPr>
            <w:tcW w:w="1908" w:type="dxa"/>
            <w:vAlign w:val="center"/>
          </w:tcPr>
          <w:p w14:paraId="0B955F19" w14:textId="77777777" w:rsidR="00C92D41" w:rsidRPr="00EB5A40" w:rsidRDefault="00C92D41" w:rsidP="00C92D41">
            <w:pPr>
              <w:pStyle w:val="TableParagraph"/>
              <w:spacing w:line="275" w:lineRule="exact"/>
              <w:ind w:left="333" w:right="334"/>
              <w:rPr>
                <w:rFonts w:asciiTheme="majorHAnsi" w:hAnsiTheme="majorHAnsi"/>
                <w:b/>
                <w:sz w:val="20"/>
                <w:szCs w:val="20"/>
              </w:rPr>
            </w:pPr>
            <w:r w:rsidRPr="00EB5A40">
              <w:rPr>
                <w:rFonts w:asciiTheme="majorHAnsi" w:hAnsiTheme="majorHAnsi"/>
                <w:b/>
                <w:sz w:val="20"/>
                <w:szCs w:val="20"/>
              </w:rPr>
              <w:t>2000</w:t>
            </w:r>
          </w:p>
        </w:tc>
        <w:tc>
          <w:tcPr>
            <w:tcW w:w="1908" w:type="dxa"/>
            <w:vAlign w:val="center"/>
          </w:tcPr>
          <w:p w14:paraId="7C6E08A9" w14:textId="77777777" w:rsidR="00C92D41" w:rsidRPr="00EB5A40" w:rsidRDefault="00C92D41" w:rsidP="00C92D41">
            <w:pPr>
              <w:pStyle w:val="TableParagraph"/>
              <w:spacing w:line="275" w:lineRule="exact"/>
              <w:ind w:left="161" w:right="161"/>
              <w:rPr>
                <w:rFonts w:asciiTheme="majorHAnsi" w:hAnsiTheme="majorHAnsi"/>
                <w:b/>
                <w:sz w:val="20"/>
                <w:szCs w:val="20"/>
              </w:rPr>
            </w:pPr>
            <w:r w:rsidRPr="00EB5A40">
              <w:rPr>
                <w:rFonts w:asciiTheme="majorHAnsi" w:hAnsiTheme="majorHAnsi"/>
                <w:b/>
                <w:sz w:val="20"/>
                <w:szCs w:val="20"/>
              </w:rPr>
              <w:t>2010</w:t>
            </w:r>
          </w:p>
        </w:tc>
        <w:tc>
          <w:tcPr>
            <w:tcW w:w="1908" w:type="dxa"/>
            <w:vAlign w:val="center"/>
          </w:tcPr>
          <w:p w14:paraId="244F3FA5" w14:textId="77777777" w:rsidR="00C92D41" w:rsidRPr="00EB5A40" w:rsidRDefault="00C92D41" w:rsidP="00C92D41">
            <w:pPr>
              <w:pStyle w:val="TableParagraph"/>
              <w:keepNext/>
              <w:keepLines/>
              <w:spacing w:before="200" w:line="275" w:lineRule="exact"/>
              <w:ind w:left="161" w:right="161"/>
              <w:outlineLvl w:val="6"/>
              <w:rPr>
                <w:rFonts w:asciiTheme="majorHAnsi" w:hAnsiTheme="majorHAnsi"/>
                <w:b/>
                <w:sz w:val="20"/>
                <w:szCs w:val="20"/>
              </w:rPr>
            </w:pPr>
            <w:r w:rsidRPr="00EB5A40">
              <w:rPr>
                <w:rFonts w:asciiTheme="majorHAnsi" w:hAnsiTheme="majorHAnsi"/>
                <w:b/>
                <w:sz w:val="20"/>
                <w:szCs w:val="20"/>
              </w:rPr>
              <w:t>2015 (est.)</w:t>
            </w:r>
          </w:p>
        </w:tc>
      </w:tr>
      <w:tr w:rsidR="00C92D41" w:rsidRPr="00C92D41" w14:paraId="65B781F5" w14:textId="77777777" w:rsidTr="00EB5A40">
        <w:trPr>
          <w:trHeight w:val="475"/>
        </w:trPr>
        <w:tc>
          <w:tcPr>
            <w:tcW w:w="1908" w:type="dxa"/>
            <w:shd w:val="clear" w:color="auto" w:fill="CCFFCC"/>
          </w:tcPr>
          <w:p w14:paraId="0E0E82F9" w14:textId="77777777" w:rsidR="00C92D41" w:rsidRPr="00EB5A40" w:rsidRDefault="00C92D41">
            <w:pPr>
              <w:pStyle w:val="TableParagraph"/>
              <w:spacing w:line="229" w:lineRule="exact"/>
              <w:ind w:left="-1"/>
              <w:jc w:val="left"/>
              <w:rPr>
                <w:rFonts w:asciiTheme="majorHAnsi" w:hAnsiTheme="majorHAnsi"/>
                <w:b/>
                <w:sz w:val="20"/>
                <w:szCs w:val="20"/>
              </w:rPr>
            </w:pPr>
            <w:r w:rsidRPr="00EB5A40">
              <w:rPr>
                <w:rFonts w:asciiTheme="majorHAnsi" w:hAnsiTheme="majorHAnsi"/>
                <w:b/>
                <w:sz w:val="20"/>
                <w:szCs w:val="20"/>
              </w:rPr>
              <w:t>Clifton</w:t>
            </w:r>
          </w:p>
        </w:tc>
        <w:tc>
          <w:tcPr>
            <w:tcW w:w="1908" w:type="dxa"/>
            <w:vAlign w:val="center"/>
          </w:tcPr>
          <w:p w14:paraId="5DC3426D" w14:textId="77777777" w:rsidR="00C92D41" w:rsidRPr="00EB5A40" w:rsidRDefault="00C92D41" w:rsidP="00C92D41">
            <w:pPr>
              <w:pStyle w:val="TableParagraph"/>
              <w:spacing w:line="227" w:lineRule="exact"/>
              <w:ind w:left="396" w:right="396"/>
              <w:rPr>
                <w:rFonts w:asciiTheme="majorHAnsi" w:hAnsiTheme="majorHAnsi"/>
                <w:sz w:val="20"/>
                <w:szCs w:val="20"/>
              </w:rPr>
            </w:pPr>
            <w:r w:rsidRPr="00EB5A40">
              <w:rPr>
                <w:rFonts w:asciiTheme="majorHAnsi" w:hAnsiTheme="majorHAnsi"/>
                <w:sz w:val="20"/>
                <w:szCs w:val="20"/>
              </w:rPr>
              <w:t>2.61</w:t>
            </w:r>
          </w:p>
        </w:tc>
        <w:tc>
          <w:tcPr>
            <w:tcW w:w="1908" w:type="dxa"/>
            <w:vAlign w:val="center"/>
          </w:tcPr>
          <w:p w14:paraId="26D843BD" w14:textId="77777777" w:rsidR="00C92D41" w:rsidRPr="00EB5A40" w:rsidRDefault="00C92D41" w:rsidP="00C92D41">
            <w:pPr>
              <w:pStyle w:val="TableParagraph"/>
              <w:spacing w:line="227" w:lineRule="exact"/>
              <w:ind w:left="333" w:right="333"/>
              <w:rPr>
                <w:rFonts w:asciiTheme="majorHAnsi" w:hAnsiTheme="majorHAnsi"/>
                <w:sz w:val="20"/>
                <w:szCs w:val="20"/>
              </w:rPr>
            </w:pPr>
            <w:r w:rsidRPr="00EB5A40">
              <w:rPr>
                <w:rFonts w:asciiTheme="majorHAnsi" w:hAnsiTheme="majorHAnsi"/>
                <w:sz w:val="20"/>
                <w:szCs w:val="20"/>
              </w:rPr>
              <w:t>2.45</w:t>
            </w:r>
          </w:p>
        </w:tc>
        <w:tc>
          <w:tcPr>
            <w:tcW w:w="1908" w:type="dxa"/>
            <w:vAlign w:val="center"/>
          </w:tcPr>
          <w:p w14:paraId="51AB71F7" w14:textId="77777777" w:rsidR="00C92D41" w:rsidRPr="00EB5A40" w:rsidRDefault="00C92D41" w:rsidP="00C92D41">
            <w:pPr>
              <w:pStyle w:val="TableParagraph"/>
              <w:spacing w:line="227" w:lineRule="exact"/>
              <w:ind w:left="160" w:right="161"/>
              <w:rPr>
                <w:rFonts w:asciiTheme="majorHAnsi" w:hAnsiTheme="majorHAnsi"/>
                <w:sz w:val="20"/>
                <w:szCs w:val="20"/>
              </w:rPr>
            </w:pPr>
            <w:r w:rsidRPr="00EB5A40">
              <w:rPr>
                <w:rFonts w:asciiTheme="majorHAnsi" w:hAnsiTheme="majorHAnsi"/>
                <w:sz w:val="20"/>
                <w:szCs w:val="20"/>
              </w:rPr>
              <w:t>2.3</w:t>
            </w:r>
          </w:p>
        </w:tc>
        <w:tc>
          <w:tcPr>
            <w:tcW w:w="1908" w:type="dxa"/>
            <w:vAlign w:val="center"/>
          </w:tcPr>
          <w:p w14:paraId="393FF56F" w14:textId="77777777" w:rsidR="00C92D41" w:rsidRPr="00EB5A40" w:rsidRDefault="00C92D41" w:rsidP="00C92D41">
            <w:pPr>
              <w:pStyle w:val="TableParagraph"/>
              <w:keepNext/>
              <w:keepLines/>
              <w:spacing w:before="200" w:line="227" w:lineRule="exact"/>
              <w:ind w:left="160" w:right="161"/>
              <w:outlineLvl w:val="6"/>
              <w:rPr>
                <w:rFonts w:asciiTheme="majorHAnsi" w:hAnsiTheme="majorHAnsi"/>
                <w:sz w:val="20"/>
                <w:szCs w:val="20"/>
              </w:rPr>
            </w:pPr>
            <w:r w:rsidRPr="00EB5A40">
              <w:rPr>
                <w:rFonts w:asciiTheme="majorHAnsi" w:hAnsiTheme="majorHAnsi"/>
                <w:sz w:val="20"/>
                <w:szCs w:val="20"/>
              </w:rPr>
              <w:t>2.64</w:t>
            </w:r>
          </w:p>
        </w:tc>
      </w:tr>
      <w:tr w:rsidR="00C92D41" w:rsidRPr="00C92D41" w14:paraId="74726B3B" w14:textId="77777777" w:rsidTr="00EB5A40">
        <w:trPr>
          <w:trHeight w:val="475"/>
        </w:trPr>
        <w:tc>
          <w:tcPr>
            <w:tcW w:w="1908" w:type="dxa"/>
            <w:shd w:val="clear" w:color="auto" w:fill="CCFFCC"/>
          </w:tcPr>
          <w:p w14:paraId="4C017DA7" w14:textId="77777777" w:rsidR="00C92D41" w:rsidRPr="00EB5A40" w:rsidRDefault="00C92D41" w:rsidP="00EB5A40">
            <w:pPr>
              <w:pStyle w:val="TableParagraph"/>
              <w:spacing w:line="227" w:lineRule="exact"/>
              <w:ind w:right="-1"/>
              <w:jc w:val="left"/>
              <w:rPr>
                <w:rFonts w:asciiTheme="majorHAnsi" w:hAnsiTheme="majorHAnsi"/>
                <w:b/>
                <w:sz w:val="20"/>
                <w:szCs w:val="20"/>
              </w:rPr>
            </w:pPr>
            <w:r w:rsidRPr="00EB5A40">
              <w:rPr>
                <w:rFonts w:asciiTheme="majorHAnsi" w:hAnsiTheme="majorHAnsi"/>
                <w:b/>
                <w:sz w:val="20"/>
                <w:szCs w:val="20"/>
              </w:rPr>
              <w:t>Rate of Change</w:t>
            </w:r>
          </w:p>
        </w:tc>
        <w:tc>
          <w:tcPr>
            <w:tcW w:w="1908" w:type="dxa"/>
            <w:shd w:val="clear" w:color="auto" w:fill="F2F2F2" w:themeFill="background1" w:themeFillShade="F2"/>
            <w:vAlign w:val="center"/>
          </w:tcPr>
          <w:p w14:paraId="703E4DDA" w14:textId="77777777" w:rsidR="00C92D41" w:rsidRPr="00EB5A40" w:rsidRDefault="00C92D41" w:rsidP="00C92D41">
            <w:pPr>
              <w:pStyle w:val="TableParagraph"/>
              <w:keepNext/>
              <w:keepLines/>
              <w:tabs>
                <w:tab w:val="center" w:pos="4320"/>
                <w:tab w:val="right" w:pos="8640"/>
              </w:tabs>
              <w:spacing w:before="31" w:line="212" w:lineRule="exact"/>
              <w:ind w:right="431"/>
              <w:jc w:val="right"/>
              <w:outlineLvl w:val="6"/>
              <w:rPr>
                <w:rFonts w:asciiTheme="majorHAnsi" w:hAnsiTheme="majorHAnsi"/>
                <w:sz w:val="20"/>
                <w:szCs w:val="20"/>
              </w:rPr>
            </w:pPr>
          </w:p>
        </w:tc>
        <w:tc>
          <w:tcPr>
            <w:tcW w:w="1908" w:type="dxa"/>
            <w:vAlign w:val="center"/>
          </w:tcPr>
          <w:p w14:paraId="213D8A66" w14:textId="77777777" w:rsidR="00C92D41" w:rsidRPr="00EB5A40" w:rsidRDefault="00C92D41" w:rsidP="00C92D41">
            <w:pPr>
              <w:pStyle w:val="TableParagraph"/>
              <w:spacing w:before="31" w:line="212" w:lineRule="exact"/>
              <w:ind w:left="333" w:right="333"/>
              <w:rPr>
                <w:rFonts w:asciiTheme="majorHAnsi" w:hAnsiTheme="majorHAnsi"/>
                <w:sz w:val="20"/>
                <w:szCs w:val="20"/>
              </w:rPr>
            </w:pPr>
            <w:r w:rsidRPr="00EB5A40">
              <w:rPr>
                <w:rFonts w:asciiTheme="majorHAnsi" w:hAnsiTheme="majorHAnsi"/>
                <w:sz w:val="20"/>
                <w:szCs w:val="20"/>
              </w:rPr>
              <w:t>-6.53%</w:t>
            </w:r>
          </w:p>
        </w:tc>
        <w:tc>
          <w:tcPr>
            <w:tcW w:w="1908" w:type="dxa"/>
            <w:vAlign w:val="center"/>
          </w:tcPr>
          <w:p w14:paraId="50F33B9A" w14:textId="77777777" w:rsidR="00C92D41" w:rsidRPr="00EB5A40" w:rsidRDefault="00C92D41" w:rsidP="00C92D41">
            <w:pPr>
              <w:pStyle w:val="TableParagraph"/>
              <w:spacing w:before="31" w:line="212" w:lineRule="exact"/>
              <w:ind w:left="160" w:right="161"/>
              <w:rPr>
                <w:rFonts w:asciiTheme="majorHAnsi" w:hAnsiTheme="majorHAnsi"/>
                <w:sz w:val="20"/>
                <w:szCs w:val="20"/>
              </w:rPr>
            </w:pPr>
            <w:r w:rsidRPr="00EB5A40">
              <w:rPr>
                <w:rFonts w:asciiTheme="majorHAnsi" w:hAnsiTheme="majorHAnsi"/>
                <w:sz w:val="20"/>
                <w:szCs w:val="20"/>
              </w:rPr>
              <w:t>-6.52%</w:t>
            </w:r>
          </w:p>
        </w:tc>
        <w:tc>
          <w:tcPr>
            <w:tcW w:w="1908" w:type="dxa"/>
            <w:vAlign w:val="center"/>
          </w:tcPr>
          <w:p w14:paraId="1E4266E7" w14:textId="77777777" w:rsidR="00C92D41" w:rsidRPr="00EB5A40" w:rsidRDefault="00C92D41" w:rsidP="00C92D41">
            <w:pPr>
              <w:pStyle w:val="TableParagraph"/>
              <w:keepNext/>
              <w:keepLines/>
              <w:spacing w:before="31" w:line="212" w:lineRule="exact"/>
              <w:ind w:left="160" w:right="161"/>
              <w:outlineLvl w:val="6"/>
              <w:rPr>
                <w:rFonts w:asciiTheme="majorHAnsi" w:hAnsiTheme="majorHAnsi"/>
                <w:sz w:val="20"/>
                <w:szCs w:val="20"/>
              </w:rPr>
            </w:pPr>
            <w:r w:rsidRPr="00EB5A40">
              <w:rPr>
                <w:rFonts w:asciiTheme="majorHAnsi" w:hAnsiTheme="majorHAnsi"/>
                <w:sz w:val="20"/>
                <w:szCs w:val="20"/>
              </w:rPr>
              <w:t>0.15%</w:t>
            </w:r>
          </w:p>
        </w:tc>
      </w:tr>
      <w:tr w:rsidR="00C92D41" w:rsidRPr="00C92D41" w14:paraId="7AC80183" w14:textId="77777777" w:rsidTr="00EB5A40">
        <w:trPr>
          <w:trHeight w:val="475"/>
        </w:trPr>
        <w:tc>
          <w:tcPr>
            <w:tcW w:w="1908" w:type="dxa"/>
            <w:shd w:val="clear" w:color="auto" w:fill="CCFFCC"/>
          </w:tcPr>
          <w:p w14:paraId="6488A2EE" w14:textId="77777777" w:rsidR="00C92D41" w:rsidRPr="00EB5A40" w:rsidRDefault="00C92D41">
            <w:pPr>
              <w:pStyle w:val="TableParagraph"/>
              <w:spacing w:line="229" w:lineRule="exact"/>
              <w:ind w:left="-1"/>
              <w:jc w:val="left"/>
              <w:rPr>
                <w:rFonts w:asciiTheme="majorHAnsi" w:hAnsiTheme="majorHAnsi"/>
                <w:b/>
                <w:sz w:val="20"/>
                <w:szCs w:val="20"/>
              </w:rPr>
            </w:pPr>
            <w:r w:rsidRPr="00EB5A40">
              <w:rPr>
                <w:rFonts w:asciiTheme="majorHAnsi" w:hAnsiTheme="majorHAnsi"/>
                <w:b/>
                <w:sz w:val="20"/>
                <w:szCs w:val="20"/>
              </w:rPr>
              <w:t>Penobscot County</w:t>
            </w:r>
          </w:p>
        </w:tc>
        <w:tc>
          <w:tcPr>
            <w:tcW w:w="1908" w:type="dxa"/>
            <w:vAlign w:val="center"/>
          </w:tcPr>
          <w:p w14:paraId="68DF5EE6" w14:textId="77777777" w:rsidR="00C92D41" w:rsidRPr="00EB5A40" w:rsidRDefault="00C92D41" w:rsidP="00C92D41">
            <w:pPr>
              <w:pStyle w:val="TableParagraph"/>
              <w:spacing w:line="227" w:lineRule="exact"/>
              <w:ind w:left="396" w:right="396"/>
              <w:rPr>
                <w:rFonts w:asciiTheme="majorHAnsi" w:hAnsiTheme="majorHAnsi"/>
                <w:sz w:val="20"/>
                <w:szCs w:val="20"/>
              </w:rPr>
            </w:pPr>
            <w:r w:rsidRPr="00EB5A40">
              <w:rPr>
                <w:rFonts w:asciiTheme="majorHAnsi" w:hAnsiTheme="majorHAnsi"/>
                <w:sz w:val="20"/>
                <w:szCs w:val="20"/>
              </w:rPr>
              <w:t>2.57</w:t>
            </w:r>
          </w:p>
        </w:tc>
        <w:tc>
          <w:tcPr>
            <w:tcW w:w="1908" w:type="dxa"/>
            <w:vAlign w:val="center"/>
          </w:tcPr>
          <w:p w14:paraId="5C48809C" w14:textId="77777777" w:rsidR="00C92D41" w:rsidRPr="00EB5A40" w:rsidRDefault="00C92D41" w:rsidP="00C92D41">
            <w:pPr>
              <w:pStyle w:val="TableParagraph"/>
              <w:spacing w:line="227" w:lineRule="exact"/>
              <w:ind w:left="333" w:right="333"/>
              <w:rPr>
                <w:rFonts w:asciiTheme="majorHAnsi" w:hAnsiTheme="majorHAnsi"/>
                <w:sz w:val="20"/>
                <w:szCs w:val="20"/>
              </w:rPr>
            </w:pPr>
            <w:r w:rsidRPr="00EB5A40">
              <w:rPr>
                <w:rFonts w:asciiTheme="majorHAnsi" w:hAnsiTheme="majorHAnsi"/>
                <w:sz w:val="20"/>
                <w:szCs w:val="20"/>
              </w:rPr>
              <w:t>2.38</w:t>
            </w:r>
          </w:p>
        </w:tc>
        <w:tc>
          <w:tcPr>
            <w:tcW w:w="1908" w:type="dxa"/>
            <w:vAlign w:val="center"/>
          </w:tcPr>
          <w:p w14:paraId="647ABF74" w14:textId="77777777" w:rsidR="00C92D41" w:rsidRPr="00EB5A40" w:rsidRDefault="00C92D41" w:rsidP="00C92D41">
            <w:pPr>
              <w:pStyle w:val="TableParagraph"/>
              <w:spacing w:line="227" w:lineRule="exact"/>
              <w:ind w:left="160" w:right="161"/>
              <w:rPr>
                <w:rFonts w:asciiTheme="majorHAnsi" w:hAnsiTheme="majorHAnsi"/>
                <w:sz w:val="20"/>
                <w:szCs w:val="20"/>
              </w:rPr>
            </w:pPr>
            <w:r w:rsidRPr="00EB5A40">
              <w:rPr>
                <w:rFonts w:asciiTheme="majorHAnsi" w:hAnsiTheme="majorHAnsi"/>
                <w:sz w:val="20"/>
                <w:szCs w:val="20"/>
              </w:rPr>
              <w:t>2.2</w:t>
            </w:r>
          </w:p>
        </w:tc>
        <w:tc>
          <w:tcPr>
            <w:tcW w:w="1908" w:type="dxa"/>
            <w:vAlign w:val="center"/>
          </w:tcPr>
          <w:p w14:paraId="540FBCBA" w14:textId="77777777" w:rsidR="00C92D41" w:rsidRPr="00EB5A40" w:rsidRDefault="00C92D41" w:rsidP="00C92D41">
            <w:pPr>
              <w:pStyle w:val="TableParagraph"/>
              <w:keepNext/>
              <w:keepLines/>
              <w:spacing w:before="200" w:line="227" w:lineRule="exact"/>
              <w:ind w:left="160" w:right="161"/>
              <w:outlineLvl w:val="6"/>
              <w:rPr>
                <w:rFonts w:asciiTheme="majorHAnsi" w:hAnsiTheme="majorHAnsi"/>
                <w:sz w:val="20"/>
                <w:szCs w:val="20"/>
              </w:rPr>
            </w:pPr>
            <w:r w:rsidRPr="00EB5A40">
              <w:rPr>
                <w:rFonts w:asciiTheme="majorHAnsi" w:hAnsiTheme="majorHAnsi"/>
                <w:sz w:val="20"/>
                <w:szCs w:val="20"/>
              </w:rPr>
              <w:t>2.33</w:t>
            </w:r>
          </w:p>
        </w:tc>
      </w:tr>
      <w:tr w:rsidR="00C92D41" w:rsidRPr="00C92D41" w14:paraId="36588635" w14:textId="77777777" w:rsidTr="00EB5A40">
        <w:trPr>
          <w:trHeight w:val="475"/>
        </w:trPr>
        <w:tc>
          <w:tcPr>
            <w:tcW w:w="1908" w:type="dxa"/>
            <w:shd w:val="clear" w:color="auto" w:fill="CCFFCC"/>
          </w:tcPr>
          <w:p w14:paraId="65EEE58A" w14:textId="77777777" w:rsidR="00C92D41" w:rsidRPr="00EB5A40" w:rsidRDefault="00C92D41" w:rsidP="00EB5A40">
            <w:pPr>
              <w:pStyle w:val="TableParagraph"/>
              <w:spacing w:line="227" w:lineRule="exact"/>
              <w:ind w:right="-1"/>
              <w:jc w:val="left"/>
              <w:rPr>
                <w:rFonts w:asciiTheme="majorHAnsi" w:hAnsiTheme="majorHAnsi"/>
                <w:b/>
                <w:sz w:val="20"/>
                <w:szCs w:val="20"/>
              </w:rPr>
            </w:pPr>
            <w:r w:rsidRPr="00EB5A40">
              <w:rPr>
                <w:rFonts w:asciiTheme="majorHAnsi" w:hAnsiTheme="majorHAnsi"/>
                <w:b/>
                <w:sz w:val="20"/>
                <w:szCs w:val="20"/>
              </w:rPr>
              <w:t>Rate of Change</w:t>
            </w:r>
          </w:p>
        </w:tc>
        <w:tc>
          <w:tcPr>
            <w:tcW w:w="1908" w:type="dxa"/>
            <w:shd w:val="clear" w:color="auto" w:fill="F2F2F2" w:themeFill="background1" w:themeFillShade="F2"/>
            <w:vAlign w:val="center"/>
          </w:tcPr>
          <w:p w14:paraId="18E8CF27" w14:textId="77777777" w:rsidR="00C92D41" w:rsidRPr="00EB5A40" w:rsidRDefault="00C92D41" w:rsidP="00C92D41">
            <w:pPr>
              <w:pStyle w:val="TableParagraph"/>
              <w:keepNext/>
              <w:keepLines/>
              <w:tabs>
                <w:tab w:val="center" w:pos="4320"/>
                <w:tab w:val="right" w:pos="8640"/>
              </w:tabs>
              <w:spacing w:before="31" w:line="213" w:lineRule="exact"/>
              <w:ind w:right="432"/>
              <w:jc w:val="right"/>
              <w:outlineLvl w:val="6"/>
              <w:rPr>
                <w:rFonts w:asciiTheme="majorHAnsi" w:hAnsiTheme="majorHAnsi"/>
                <w:sz w:val="20"/>
                <w:szCs w:val="20"/>
              </w:rPr>
            </w:pPr>
          </w:p>
        </w:tc>
        <w:tc>
          <w:tcPr>
            <w:tcW w:w="1908" w:type="dxa"/>
            <w:vAlign w:val="center"/>
          </w:tcPr>
          <w:p w14:paraId="365FD3D9" w14:textId="77777777" w:rsidR="00C92D41" w:rsidRPr="00EB5A40" w:rsidRDefault="00C92D41" w:rsidP="00C92D41">
            <w:pPr>
              <w:pStyle w:val="TableParagraph"/>
              <w:spacing w:before="31" w:line="213" w:lineRule="exact"/>
              <w:ind w:left="333" w:right="333"/>
              <w:rPr>
                <w:rFonts w:asciiTheme="majorHAnsi" w:hAnsiTheme="majorHAnsi"/>
                <w:sz w:val="20"/>
                <w:szCs w:val="20"/>
              </w:rPr>
            </w:pPr>
            <w:r w:rsidRPr="00EB5A40">
              <w:rPr>
                <w:rFonts w:asciiTheme="majorHAnsi" w:hAnsiTheme="majorHAnsi"/>
                <w:sz w:val="20"/>
                <w:szCs w:val="20"/>
              </w:rPr>
              <w:t>-7.98%</w:t>
            </w:r>
          </w:p>
        </w:tc>
        <w:tc>
          <w:tcPr>
            <w:tcW w:w="1908" w:type="dxa"/>
            <w:vAlign w:val="center"/>
          </w:tcPr>
          <w:p w14:paraId="154F0D04" w14:textId="77777777" w:rsidR="00C92D41" w:rsidRPr="00EB5A40" w:rsidRDefault="00C92D41" w:rsidP="00C92D41">
            <w:pPr>
              <w:pStyle w:val="TableParagraph"/>
              <w:spacing w:before="31" w:line="213" w:lineRule="exact"/>
              <w:ind w:left="161" w:right="161"/>
              <w:rPr>
                <w:rFonts w:asciiTheme="majorHAnsi" w:hAnsiTheme="majorHAnsi"/>
                <w:sz w:val="20"/>
                <w:szCs w:val="20"/>
              </w:rPr>
            </w:pPr>
            <w:r w:rsidRPr="00EB5A40">
              <w:rPr>
                <w:rFonts w:asciiTheme="majorHAnsi" w:hAnsiTheme="majorHAnsi"/>
                <w:sz w:val="20"/>
                <w:szCs w:val="20"/>
              </w:rPr>
              <w:t>-8.18%</w:t>
            </w:r>
          </w:p>
        </w:tc>
        <w:tc>
          <w:tcPr>
            <w:tcW w:w="1908" w:type="dxa"/>
            <w:vAlign w:val="center"/>
          </w:tcPr>
          <w:p w14:paraId="14B31C7C" w14:textId="77777777" w:rsidR="00C92D41" w:rsidRPr="00EB5A40" w:rsidRDefault="00C92D41" w:rsidP="00C92D41">
            <w:pPr>
              <w:pStyle w:val="TableParagraph"/>
              <w:keepNext/>
              <w:keepLines/>
              <w:spacing w:before="31" w:line="213" w:lineRule="exact"/>
              <w:ind w:left="161" w:right="161"/>
              <w:outlineLvl w:val="6"/>
              <w:rPr>
                <w:rFonts w:asciiTheme="majorHAnsi" w:hAnsiTheme="majorHAnsi"/>
                <w:sz w:val="20"/>
                <w:szCs w:val="20"/>
              </w:rPr>
            </w:pPr>
            <w:r w:rsidRPr="00EB5A40">
              <w:rPr>
                <w:rFonts w:asciiTheme="majorHAnsi" w:hAnsiTheme="majorHAnsi"/>
                <w:sz w:val="20"/>
                <w:szCs w:val="20"/>
              </w:rPr>
              <w:t>5.91%</w:t>
            </w:r>
          </w:p>
        </w:tc>
      </w:tr>
      <w:tr w:rsidR="00C92D41" w:rsidRPr="00C92D41" w14:paraId="252EBDFD" w14:textId="77777777" w:rsidTr="00EB5A40">
        <w:trPr>
          <w:trHeight w:val="475"/>
        </w:trPr>
        <w:tc>
          <w:tcPr>
            <w:tcW w:w="1908" w:type="dxa"/>
            <w:shd w:val="clear" w:color="auto" w:fill="CCFFCC"/>
          </w:tcPr>
          <w:p w14:paraId="7D216BD4" w14:textId="77777777" w:rsidR="00C92D41" w:rsidRPr="00EB5A40" w:rsidRDefault="00C92D41">
            <w:pPr>
              <w:pStyle w:val="TableParagraph"/>
              <w:spacing w:line="229" w:lineRule="exact"/>
              <w:ind w:left="-1"/>
              <w:jc w:val="left"/>
              <w:rPr>
                <w:rFonts w:asciiTheme="majorHAnsi" w:hAnsiTheme="majorHAnsi"/>
                <w:b/>
                <w:sz w:val="20"/>
                <w:szCs w:val="20"/>
              </w:rPr>
            </w:pPr>
            <w:r w:rsidRPr="00EB5A40">
              <w:rPr>
                <w:rFonts w:asciiTheme="majorHAnsi" w:hAnsiTheme="majorHAnsi"/>
                <w:b/>
                <w:sz w:val="20"/>
                <w:szCs w:val="20"/>
              </w:rPr>
              <w:t>Hancock County</w:t>
            </w:r>
          </w:p>
        </w:tc>
        <w:tc>
          <w:tcPr>
            <w:tcW w:w="1908" w:type="dxa"/>
            <w:vAlign w:val="center"/>
          </w:tcPr>
          <w:p w14:paraId="06329649" w14:textId="77777777" w:rsidR="00C92D41" w:rsidRPr="00EB5A40" w:rsidRDefault="00C92D41" w:rsidP="00C92D41">
            <w:pPr>
              <w:pStyle w:val="TableParagraph"/>
              <w:spacing w:line="227" w:lineRule="exact"/>
              <w:ind w:left="396" w:right="396"/>
              <w:rPr>
                <w:rFonts w:asciiTheme="majorHAnsi" w:hAnsiTheme="majorHAnsi"/>
                <w:sz w:val="20"/>
                <w:szCs w:val="20"/>
              </w:rPr>
            </w:pPr>
            <w:r w:rsidRPr="00EB5A40">
              <w:rPr>
                <w:rFonts w:asciiTheme="majorHAnsi" w:hAnsiTheme="majorHAnsi"/>
                <w:sz w:val="20"/>
                <w:szCs w:val="20"/>
              </w:rPr>
              <w:t>2.56</w:t>
            </w:r>
          </w:p>
        </w:tc>
        <w:tc>
          <w:tcPr>
            <w:tcW w:w="1908" w:type="dxa"/>
            <w:vAlign w:val="center"/>
          </w:tcPr>
          <w:p w14:paraId="5DBC2225" w14:textId="77777777" w:rsidR="00C92D41" w:rsidRPr="00EB5A40" w:rsidRDefault="00C92D41" w:rsidP="00C92D41">
            <w:pPr>
              <w:pStyle w:val="TableParagraph"/>
              <w:spacing w:line="227" w:lineRule="exact"/>
              <w:ind w:left="333" w:right="333"/>
              <w:rPr>
                <w:rFonts w:asciiTheme="majorHAnsi" w:hAnsiTheme="majorHAnsi"/>
                <w:sz w:val="20"/>
                <w:szCs w:val="20"/>
              </w:rPr>
            </w:pPr>
            <w:r w:rsidRPr="00EB5A40">
              <w:rPr>
                <w:rFonts w:asciiTheme="majorHAnsi" w:hAnsiTheme="majorHAnsi"/>
                <w:sz w:val="20"/>
                <w:szCs w:val="20"/>
              </w:rPr>
              <w:t>2.31</w:t>
            </w:r>
          </w:p>
        </w:tc>
        <w:tc>
          <w:tcPr>
            <w:tcW w:w="1908" w:type="dxa"/>
            <w:vAlign w:val="center"/>
          </w:tcPr>
          <w:p w14:paraId="1576C50E" w14:textId="77777777" w:rsidR="00C92D41" w:rsidRPr="00EB5A40" w:rsidRDefault="00C92D41" w:rsidP="00C92D41">
            <w:pPr>
              <w:pStyle w:val="TableParagraph"/>
              <w:spacing w:line="227" w:lineRule="exact"/>
              <w:ind w:left="160" w:right="161"/>
              <w:rPr>
                <w:rFonts w:asciiTheme="majorHAnsi" w:hAnsiTheme="majorHAnsi"/>
                <w:sz w:val="20"/>
                <w:szCs w:val="20"/>
              </w:rPr>
            </w:pPr>
            <w:r w:rsidRPr="00EB5A40">
              <w:rPr>
                <w:rFonts w:asciiTheme="majorHAnsi" w:hAnsiTheme="majorHAnsi"/>
                <w:sz w:val="20"/>
                <w:szCs w:val="20"/>
              </w:rPr>
              <w:t>2.14</w:t>
            </w:r>
          </w:p>
        </w:tc>
        <w:tc>
          <w:tcPr>
            <w:tcW w:w="1908" w:type="dxa"/>
            <w:vAlign w:val="center"/>
          </w:tcPr>
          <w:p w14:paraId="087254E0" w14:textId="77777777" w:rsidR="00C92D41" w:rsidRPr="00EB5A40" w:rsidRDefault="00C92D41" w:rsidP="00C92D41">
            <w:pPr>
              <w:pStyle w:val="TableParagraph"/>
              <w:keepNext/>
              <w:keepLines/>
              <w:spacing w:before="200" w:line="227" w:lineRule="exact"/>
              <w:ind w:left="160" w:right="161"/>
              <w:outlineLvl w:val="6"/>
              <w:rPr>
                <w:rFonts w:asciiTheme="majorHAnsi" w:hAnsiTheme="majorHAnsi"/>
                <w:sz w:val="20"/>
                <w:szCs w:val="20"/>
              </w:rPr>
            </w:pPr>
            <w:r w:rsidRPr="00EB5A40">
              <w:rPr>
                <w:rFonts w:asciiTheme="majorHAnsi" w:hAnsiTheme="majorHAnsi"/>
                <w:sz w:val="20"/>
                <w:szCs w:val="20"/>
              </w:rPr>
              <w:t>2.20</w:t>
            </w:r>
          </w:p>
        </w:tc>
      </w:tr>
      <w:tr w:rsidR="00C92D41" w:rsidRPr="00C92D41" w14:paraId="2B170622" w14:textId="77777777" w:rsidTr="00EB5A40">
        <w:trPr>
          <w:trHeight w:val="475"/>
        </w:trPr>
        <w:tc>
          <w:tcPr>
            <w:tcW w:w="1908" w:type="dxa"/>
            <w:shd w:val="clear" w:color="auto" w:fill="CCFFCC"/>
          </w:tcPr>
          <w:p w14:paraId="0D3B579F" w14:textId="77777777" w:rsidR="00C92D41" w:rsidRPr="00EB5A40" w:rsidRDefault="00C92D41" w:rsidP="00EB5A40">
            <w:pPr>
              <w:pStyle w:val="TableParagraph"/>
              <w:spacing w:line="227" w:lineRule="exact"/>
              <w:ind w:right="-1"/>
              <w:jc w:val="left"/>
              <w:rPr>
                <w:rFonts w:asciiTheme="majorHAnsi" w:hAnsiTheme="majorHAnsi"/>
                <w:b/>
                <w:sz w:val="20"/>
                <w:szCs w:val="20"/>
              </w:rPr>
            </w:pPr>
            <w:r w:rsidRPr="00EB5A40">
              <w:rPr>
                <w:rFonts w:asciiTheme="majorHAnsi" w:hAnsiTheme="majorHAnsi"/>
                <w:b/>
                <w:sz w:val="20"/>
                <w:szCs w:val="20"/>
              </w:rPr>
              <w:t>Rate of Change</w:t>
            </w:r>
          </w:p>
        </w:tc>
        <w:tc>
          <w:tcPr>
            <w:tcW w:w="1908" w:type="dxa"/>
            <w:shd w:val="clear" w:color="auto" w:fill="F2F2F2" w:themeFill="background1" w:themeFillShade="F2"/>
            <w:vAlign w:val="center"/>
          </w:tcPr>
          <w:p w14:paraId="389D37E4" w14:textId="77777777" w:rsidR="00C92D41" w:rsidRPr="00EB5A40" w:rsidRDefault="00C92D41" w:rsidP="00C92D41">
            <w:pPr>
              <w:pStyle w:val="TableParagraph"/>
              <w:keepNext/>
              <w:keepLines/>
              <w:tabs>
                <w:tab w:val="center" w:pos="4320"/>
                <w:tab w:val="right" w:pos="8640"/>
              </w:tabs>
              <w:spacing w:before="31" w:line="212" w:lineRule="exact"/>
              <w:ind w:right="432"/>
              <w:jc w:val="right"/>
              <w:outlineLvl w:val="6"/>
              <w:rPr>
                <w:rFonts w:asciiTheme="majorHAnsi" w:hAnsiTheme="majorHAnsi"/>
                <w:sz w:val="20"/>
                <w:szCs w:val="20"/>
              </w:rPr>
            </w:pPr>
          </w:p>
        </w:tc>
        <w:tc>
          <w:tcPr>
            <w:tcW w:w="1908" w:type="dxa"/>
            <w:vAlign w:val="center"/>
          </w:tcPr>
          <w:p w14:paraId="02760A76" w14:textId="77777777" w:rsidR="00C92D41" w:rsidRPr="00EB5A40" w:rsidRDefault="00C92D41" w:rsidP="00C92D41">
            <w:pPr>
              <w:pStyle w:val="TableParagraph"/>
              <w:spacing w:before="31" w:line="212" w:lineRule="exact"/>
              <w:ind w:left="333" w:right="334"/>
              <w:rPr>
                <w:rFonts w:asciiTheme="majorHAnsi" w:hAnsiTheme="majorHAnsi"/>
                <w:sz w:val="20"/>
                <w:szCs w:val="20"/>
              </w:rPr>
            </w:pPr>
            <w:r w:rsidRPr="00EB5A40">
              <w:rPr>
                <w:rFonts w:asciiTheme="majorHAnsi" w:hAnsiTheme="majorHAnsi"/>
                <w:sz w:val="20"/>
                <w:szCs w:val="20"/>
              </w:rPr>
              <w:t>-10.82%</w:t>
            </w:r>
          </w:p>
        </w:tc>
        <w:tc>
          <w:tcPr>
            <w:tcW w:w="1908" w:type="dxa"/>
            <w:vAlign w:val="center"/>
          </w:tcPr>
          <w:p w14:paraId="057C022D" w14:textId="77777777" w:rsidR="00C92D41" w:rsidRPr="00EB5A40" w:rsidRDefault="00C92D41" w:rsidP="00C92D41">
            <w:pPr>
              <w:pStyle w:val="TableParagraph"/>
              <w:spacing w:before="31" w:line="212" w:lineRule="exact"/>
              <w:ind w:left="160" w:right="161"/>
              <w:rPr>
                <w:rFonts w:asciiTheme="majorHAnsi" w:hAnsiTheme="majorHAnsi"/>
                <w:sz w:val="20"/>
                <w:szCs w:val="20"/>
              </w:rPr>
            </w:pPr>
            <w:r w:rsidRPr="00EB5A40">
              <w:rPr>
                <w:rFonts w:asciiTheme="majorHAnsi" w:hAnsiTheme="majorHAnsi"/>
                <w:sz w:val="20"/>
                <w:szCs w:val="20"/>
              </w:rPr>
              <w:t>-7.94%</w:t>
            </w:r>
          </w:p>
        </w:tc>
        <w:tc>
          <w:tcPr>
            <w:tcW w:w="1908" w:type="dxa"/>
            <w:vAlign w:val="center"/>
          </w:tcPr>
          <w:p w14:paraId="016C1966" w14:textId="77777777" w:rsidR="00C92D41" w:rsidRPr="00EB5A40" w:rsidRDefault="00C92D41" w:rsidP="00C92D41">
            <w:pPr>
              <w:pStyle w:val="TableParagraph"/>
              <w:keepNext/>
              <w:keepLines/>
              <w:spacing w:before="31" w:line="212" w:lineRule="exact"/>
              <w:ind w:left="160" w:right="161"/>
              <w:outlineLvl w:val="6"/>
              <w:rPr>
                <w:rFonts w:asciiTheme="majorHAnsi" w:hAnsiTheme="majorHAnsi"/>
                <w:sz w:val="20"/>
                <w:szCs w:val="20"/>
              </w:rPr>
            </w:pPr>
            <w:r w:rsidRPr="00EB5A40">
              <w:rPr>
                <w:rFonts w:asciiTheme="majorHAnsi" w:hAnsiTheme="majorHAnsi"/>
                <w:sz w:val="20"/>
                <w:szCs w:val="20"/>
              </w:rPr>
              <w:t>2.80%</w:t>
            </w:r>
          </w:p>
        </w:tc>
      </w:tr>
      <w:tr w:rsidR="00C92D41" w:rsidRPr="00C92D41" w14:paraId="48AE020A" w14:textId="77777777" w:rsidTr="00EB5A40">
        <w:trPr>
          <w:trHeight w:val="475"/>
        </w:trPr>
        <w:tc>
          <w:tcPr>
            <w:tcW w:w="1908" w:type="dxa"/>
            <w:shd w:val="clear" w:color="auto" w:fill="CCFFCC"/>
          </w:tcPr>
          <w:p w14:paraId="2D5317C1" w14:textId="77777777" w:rsidR="00C92D41" w:rsidRPr="00EB5A40" w:rsidRDefault="00C92D41">
            <w:pPr>
              <w:pStyle w:val="TableParagraph"/>
              <w:spacing w:line="229" w:lineRule="exact"/>
              <w:ind w:left="-1"/>
              <w:jc w:val="left"/>
              <w:rPr>
                <w:rFonts w:asciiTheme="majorHAnsi" w:hAnsiTheme="majorHAnsi"/>
                <w:b/>
                <w:sz w:val="20"/>
                <w:szCs w:val="20"/>
              </w:rPr>
            </w:pPr>
            <w:r w:rsidRPr="00EB5A40">
              <w:rPr>
                <w:rFonts w:asciiTheme="majorHAnsi" w:hAnsiTheme="majorHAnsi"/>
                <w:b/>
                <w:sz w:val="20"/>
                <w:szCs w:val="20"/>
              </w:rPr>
              <w:t>State of Maine</w:t>
            </w:r>
          </w:p>
        </w:tc>
        <w:tc>
          <w:tcPr>
            <w:tcW w:w="1908" w:type="dxa"/>
            <w:vAlign w:val="center"/>
          </w:tcPr>
          <w:p w14:paraId="67C3178C" w14:textId="77777777" w:rsidR="00C92D41" w:rsidRPr="00EB5A40" w:rsidRDefault="00C92D41" w:rsidP="00C92D41">
            <w:pPr>
              <w:pStyle w:val="TableParagraph"/>
              <w:spacing w:line="227" w:lineRule="exact"/>
              <w:ind w:left="396" w:right="396"/>
              <w:rPr>
                <w:rFonts w:asciiTheme="majorHAnsi" w:hAnsiTheme="majorHAnsi"/>
                <w:sz w:val="20"/>
                <w:szCs w:val="20"/>
              </w:rPr>
            </w:pPr>
            <w:r w:rsidRPr="00EB5A40">
              <w:rPr>
                <w:rFonts w:asciiTheme="majorHAnsi" w:hAnsiTheme="majorHAnsi"/>
                <w:sz w:val="20"/>
                <w:szCs w:val="20"/>
              </w:rPr>
              <w:t>2.56</w:t>
            </w:r>
          </w:p>
        </w:tc>
        <w:tc>
          <w:tcPr>
            <w:tcW w:w="1908" w:type="dxa"/>
            <w:vAlign w:val="center"/>
          </w:tcPr>
          <w:p w14:paraId="426B428B" w14:textId="77777777" w:rsidR="00C92D41" w:rsidRPr="00EB5A40" w:rsidRDefault="00C92D41" w:rsidP="00C92D41">
            <w:pPr>
              <w:pStyle w:val="TableParagraph"/>
              <w:spacing w:line="227" w:lineRule="exact"/>
              <w:ind w:left="333" w:right="333"/>
              <w:rPr>
                <w:rFonts w:asciiTheme="majorHAnsi" w:hAnsiTheme="majorHAnsi"/>
                <w:sz w:val="20"/>
                <w:szCs w:val="20"/>
              </w:rPr>
            </w:pPr>
            <w:r w:rsidRPr="00EB5A40">
              <w:rPr>
                <w:rFonts w:asciiTheme="majorHAnsi" w:hAnsiTheme="majorHAnsi"/>
                <w:sz w:val="20"/>
                <w:szCs w:val="20"/>
              </w:rPr>
              <w:t>2.39</w:t>
            </w:r>
          </w:p>
        </w:tc>
        <w:tc>
          <w:tcPr>
            <w:tcW w:w="1908" w:type="dxa"/>
            <w:vAlign w:val="center"/>
          </w:tcPr>
          <w:p w14:paraId="27E4A737" w14:textId="77777777" w:rsidR="00C92D41" w:rsidRPr="00EB5A40" w:rsidRDefault="00C92D41" w:rsidP="00C92D41">
            <w:pPr>
              <w:pStyle w:val="TableParagraph"/>
              <w:spacing w:line="227" w:lineRule="exact"/>
              <w:ind w:left="160" w:right="161"/>
              <w:rPr>
                <w:rFonts w:asciiTheme="majorHAnsi" w:hAnsiTheme="majorHAnsi"/>
                <w:sz w:val="20"/>
                <w:szCs w:val="20"/>
              </w:rPr>
            </w:pPr>
            <w:r w:rsidRPr="00EB5A40">
              <w:rPr>
                <w:rFonts w:asciiTheme="majorHAnsi" w:hAnsiTheme="majorHAnsi"/>
                <w:sz w:val="20"/>
                <w:szCs w:val="20"/>
              </w:rPr>
              <w:t>2.23</w:t>
            </w:r>
          </w:p>
        </w:tc>
        <w:tc>
          <w:tcPr>
            <w:tcW w:w="1908" w:type="dxa"/>
            <w:vAlign w:val="center"/>
          </w:tcPr>
          <w:p w14:paraId="09EF9EDC" w14:textId="77777777" w:rsidR="00C92D41" w:rsidRPr="00EB5A40" w:rsidRDefault="00C92D41" w:rsidP="00C92D41">
            <w:pPr>
              <w:pStyle w:val="TableParagraph"/>
              <w:keepNext/>
              <w:keepLines/>
              <w:spacing w:before="200" w:line="227" w:lineRule="exact"/>
              <w:ind w:left="160" w:right="161"/>
              <w:outlineLvl w:val="6"/>
              <w:rPr>
                <w:rFonts w:asciiTheme="majorHAnsi" w:hAnsiTheme="majorHAnsi"/>
                <w:sz w:val="20"/>
                <w:szCs w:val="20"/>
              </w:rPr>
            </w:pPr>
            <w:r w:rsidRPr="00EB5A40">
              <w:rPr>
                <w:rFonts w:asciiTheme="majorHAnsi" w:hAnsiTheme="majorHAnsi"/>
                <w:sz w:val="20"/>
                <w:szCs w:val="20"/>
              </w:rPr>
              <w:t>2.32</w:t>
            </w:r>
          </w:p>
        </w:tc>
      </w:tr>
      <w:tr w:rsidR="00C92D41" w:rsidRPr="00C92D41" w14:paraId="7555BB8A" w14:textId="77777777" w:rsidTr="00EB5A40">
        <w:trPr>
          <w:trHeight w:val="475"/>
        </w:trPr>
        <w:tc>
          <w:tcPr>
            <w:tcW w:w="1908" w:type="dxa"/>
            <w:shd w:val="clear" w:color="auto" w:fill="CCFFCC"/>
          </w:tcPr>
          <w:p w14:paraId="5691023D" w14:textId="77777777" w:rsidR="00C92D41" w:rsidRPr="00EB5A40" w:rsidRDefault="00C92D41" w:rsidP="00EB5A40">
            <w:pPr>
              <w:pStyle w:val="TableParagraph"/>
              <w:spacing w:line="227" w:lineRule="exact"/>
              <w:ind w:right="-1"/>
              <w:jc w:val="left"/>
              <w:rPr>
                <w:rFonts w:asciiTheme="majorHAnsi" w:hAnsiTheme="majorHAnsi"/>
                <w:b/>
                <w:sz w:val="20"/>
                <w:szCs w:val="20"/>
              </w:rPr>
            </w:pPr>
            <w:r w:rsidRPr="00EB5A40">
              <w:rPr>
                <w:rFonts w:asciiTheme="majorHAnsi" w:hAnsiTheme="majorHAnsi"/>
                <w:b/>
                <w:sz w:val="20"/>
                <w:szCs w:val="20"/>
              </w:rPr>
              <w:t>Rate of Change</w:t>
            </w:r>
          </w:p>
        </w:tc>
        <w:tc>
          <w:tcPr>
            <w:tcW w:w="1908" w:type="dxa"/>
            <w:shd w:val="clear" w:color="auto" w:fill="F2F2F2" w:themeFill="background1" w:themeFillShade="F2"/>
            <w:vAlign w:val="center"/>
          </w:tcPr>
          <w:p w14:paraId="140FB860" w14:textId="77777777" w:rsidR="00C92D41" w:rsidRPr="00EB5A40" w:rsidRDefault="00C92D41" w:rsidP="00C92D41">
            <w:pPr>
              <w:pStyle w:val="TableParagraph"/>
              <w:keepNext/>
              <w:keepLines/>
              <w:tabs>
                <w:tab w:val="center" w:pos="4320"/>
                <w:tab w:val="right" w:pos="8640"/>
              </w:tabs>
              <w:spacing w:before="43" w:line="212" w:lineRule="exact"/>
              <w:ind w:right="432"/>
              <w:jc w:val="right"/>
              <w:outlineLvl w:val="6"/>
              <w:rPr>
                <w:rFonts w:asciiTheme="majorHAnsi" w:hAnsiTheme="majorHAnsi"/>
                <w:sz w:val="20"/>
                <w:szCs w:val="20"/>
              </w:rPr>
            </w:pPr>
          </w:p>
        </w:tc>
        <w:tc>
          <w:tcPr>
            <w:tcW w:w="1908" w:type="dxa"/>
            <w:vAlign w:val="center"/>
          </w:tcPr>
          <w:p w14:paraId="3A210907" w14:textId="77777777" w:rsidR="00C92D41" w:rsidRPr="00EB5A40" w:rsidRDefault="00C92D41" w:rsidP="00C92D41">
            <w:pPr>
              <w:pStyle w:val="TableParagraph"/>
              <w:spacing w:before="43" w:line="212" w:lineRule="exact"/>
              <w:ind w:left="333" w:right="333"/>
              <w:rPr>
                <w:rFonts w:asciiTheme="majorHAnsi" w:hAnsiTheme="majorHAnsi"/>
                <w:sz w:val="20"/>
                <w:szCs w:val="20"/>
              </w:rPr>
            </w:pPr>
            <w:r w:rsidRPr="00EB5A40">
              <w:rPr>
                <w:rFonts w:asciiTheme="majorHAnsi" w:hAnsiTheme="majorHAnsi"/>
                <w:sz w:val="20"/>
                <w:szCs w:val="20"/>
              </w:rPr>
              <w:t>-7.11%</w:t>
            </w:r>
          </w:p>
        </w:tc>
        <w:tc>
          <w:tcPr>
            <w:tcW w:w="1908" w:type="dxa"/>
            <w:vAlign w:val="center"/>
          </w:tcPr>
          <w:p w14:paraId="20641654" w14:textId="77777777" w:rsidR="00C92D41" w:rsidRPr="00EB5A40" w:rsidRDefault="00C92D41" w:rsidP="00C92D41">
            <w:pPr>
              <w:pStyle w:val="TableParagraph"/>
              <w:spacing w:before="43" w:line="212" w:lineRule="exact"/>
              <w:ind w:left="161" w:right="161"/>
              <w:rPr>
                <w:rFonts w:asciiTheme="majorHAnsi" w:hAnsiTheme="majorHAnsi"/>
                <w:sz w:val="20"/>
                <w:szCs w:val="20"/>
              </w:rPr>
            </w:pPr>
            <w:r w:rsidRPr="00EB5A40">
              <w:rPr>
                <w:rFonts w:asciiTheme="majorHAnsi" w:hAnsiTheme="majorHAnsi"/>
                <w:sz w:val="20"/>
                <w:szCs w:val="20"/>
              </w:rPr>
              <w:t>-7.17%</w:t>
            </w:r>
          </w:p>
        </w:tc>
        <w:tc>
          <w:tcPr>
            <w:tcW w:w="1908" w:type="dxa"/>
            <w:vAlign w:val="center"/>
          </w:tcPr>
          <w:p w14:paraId="3AB9649D" w14:textId="77777777" w:rsidR="00C92D41" w:rsidRPr="00EB5A40" w:rsidRDefault="00C92D41" w:rsidP="00C92D41">
            <w:pPr>
              <w:pStyle w:val="TableParagraph"/>
              <w:keepNext/>
              <w:keepLines/>
              <w:spacing w:before="43" w:line="212" w:lineRule="exact"/>
              <w:ind w:left="161" w:right="161"/>
              <w:outlineLvl w:val="6"/>
              <w:rPr>
                <w:rFonts w:asciiTheme="majorHAnsi" w:hAnsiTheme="majorHAnsi"/>
                <w:sz w:val="20"/>
                <w:szCs w:val="20"/>
              </w:rPr>
            </w:pPr>
            <w:r w:rsidRPr="00EB5A40">
              <w:rPr>
                <w:rFonts w:asciiTheme="majorHAnsi" w:hAnsiTheme="majorHAnsi"/>
                <w:sz w:val="20"/>
                <w:szCs w:val="20"/>
              </w:rPr>
              <w:t>4.04%</w:t>
            </w:r>
          </w:p>
        </w:tc>
      </w:tr>
    </w:tbl>
    <w:p w14:paraId="200952E6" w14:textId="77777777" w:rsidR="00AD72AE" w:rsidRDefault="00AD72AE" w:rsidP="005C2AE0">
      <w:pPr>
        <w:widowControl w:val="0"/>
        <w:spacing w:after="120"/>
      </w:pPr>
    </w:p>
    <w:p w14:paraId="1A75CA2F" w14:textId="0CFF7643" w:rsidR="00965424" w:rsidRPr="00EB5A40" w:rsidRDefault="00875CEB" w:rsidP="00965424">
      <w:pPr>
        <w:widowControl w:val="0"/>
        <w:spacing w:after="120"/>
        <w:rPr>
          <w:b/>
          <w:i/>
        </w:rPr>
      </w:pPr>
      <w:r>
        <w:rPr>
          <w:b/>
          <w:i/>
        </w:rPr>
        <w:tab/>
      </w:r>
      <w:r w:rsidRPr="00EB5A40">
        <w:rPr>
          <w:b/>
          <w:i/>
        </w:rPr>
        <w:t>Educational Attainment</w:t>
      </w:r>
    </w:p>
    <w:p w14:paraId="553EAEF1" w14:textId="682A39E6" w:rsidR="00965424" w:rsidRDefault="00875CEB" w:rsidP="00965424">
      <w:pPr>
        <w:widowControl w:val="0"/>
        <w:spacing w:after="120"/>
      </w:pPr>
      <w:r>
        <w:tab/>
      </w:r>
      <w:r w:rsidR="00965424">
        <w:t xml:space="preserve">Educational attainment is a community planning issue based on the premise that meeting the academic requirements of specific programs better prepares a labor force to function at a more productive level. </w:t>
      </w:r>
      <w:r>
        <w:t xml:space="preserve"> </w:t>
      </w:r>
      <w:r w:rsidR="00965424">
        <w:t xml:space="preserve">As the economic environment </w:t>
      </w:r>
      <w:r>
        <w:t xml:space="preserve">grows to be more complex, </w:t>
      </w:r>
      <w:r w:rsidR="00965424">
        <w:t xml:space="preserve">there </w:t>
      </w:r>
      <w:r>
        <w:t>is a</w:t>
      </w:r>
      <w:r w:rsidR="00965424">
        <w:t xml:space="preserve"> corresponding increase </w:t>
      </w:r>
      <w:r>
        <w:t>for</w:t>
      </w:r>
      <w:r w:rsidR="00965424">
        <w:t xml:space="preserve"> educational expectations and aspirations.</w:t>
      </w:r>
      <w:r>
        <w:t xml:space="preserve"> </w:t>
      </w:r>
      <w:r w:rsidR="00965424">
        <w:t xml:space="preserve"> At one time, an eighth grade education was considered sufficient. </w:t>
      </w:r>
      <w:r>
        <w:t xml:space="preserve"> </w:t>
      </w:r>
      <w:r w:rsidR="00965424">
        <w:t xml:space="preserve">Today a high school diploma is considered a minimum level of achievement. </w:t>
      </w:r>
      <w:r>
        <w:t xml:space="preserve"> </w:t>
      </w:r>
      <w:r w:rsidR="00965424">
        <w:t xml:space="preserve">However, the means for more earning potential has evolved to require technical </w:t>
      </w:r>
      <w:r>
        <w:t xml:space="preserve">(vocational) </w:t>
      </w:r>
      <w:r w:rsidR="00965424">
        <w:t>training or a college education.</w:t>
      </w:r>
    </w:p>
    <w:p w14:paraId="36FC1A40" w14:textId="77777777" w:rsidR="00E65FA6" w:rsidRDefault="00E65FA6" w:rsidP="00965424">
      <w:pPr>
        <w:widowControl w:val="0"/>
        <w:spacing w:after="120"/>
      </w:pPr>
    </w:p>
    <w:tbl>
      <w:tblPr>
        <w:tblpPr w:leftFromText="180" w:rightFromText="180" w:vertAnchor="text" w:horzAnchor="page" w:tblpX="4429" w:tblpY="15"/>
        <w:tblOverlap w:val="never"/>
        <w:tblW w:w="6500" w:type="dxa"/>
        <w:tblLook w:val="04A0" w:firstRow="1" w:lastRow="0" w:firstColumn="1" w:lastColumn="0" w:noHBand="0" w:noVBand="1"/>
      </w:tblPr>
      <w:tblGrid>
        <w:gridCol w:w="1300"/>
        <w:gridCol w:w="1300"/>
        <w:gridCol w:w="1300"/>
        <w:gridCol w:w="1300"/>
        <w:gridCol w:w="1300"/>
      </w:tblGrid>
      <w:tr w:rsidR="00875CEB" w:rsidRPr="00875CEB" w14:paraId="07003755" w14:textId="77777777" w:rsidTr="00EB5A40">
        <w:trPr>
          <w:trHeight w:val="320"/>
        </w:trPr>
        <w:tc>
          <w:tcPr>
            <w:tcW w:w="6500" w:type="dxa"/>
            <w:gridSpan w:val="5"/>
            <w:tcBorders>
              <w:top w:val="single" w:sz="8" w:space="0" w:color="auto"/>
              <w:left w:val="single" w:sz="8" w:space="0" w:color="auto"/>
              <w:bottom w:val="single" w:sz="4" w:space="0" w:color="auto"/>
              <w:right w:val="single" w:sz="8" w:space="0" w:color="000000"/>
            </w:tcBorders>
            <w:shd w:val="clear" w:color="000000" w:fill="CCFFCC"/>
            <w:vAlign w:val="center"/>
            <w:hideMark/>
          </w:tcPr>
          <w:p w14:paraId="2906DAAF" w14:textId="77777777" w:rsidR="00875CEB" w:rsidRPr="00875CEB" w:rsidRDefault="00875CEB" w:rsidP="00875CEB">
            <w:pPr>
              <w:jc w:val="center"/>
              <w:rPr>
                <w:rFonts w:ascii="Calibri" w:hAnsi="Calibri"/>
                <w:b/>
                <w:bCs/>
                <w:color w:val="000000"/>
                <w:sz w:val="20"/>
                <w:szCs w:val="20"/>
              </w:rPr>
            </w:pPr>
            <w:r w:rsidRPr="00875CEB">
              <w:rPr>
                <w:rFonts w:ascii="Calibri" w:hAnsi="Calibri"/>
                <w:b/>
                <w:bCs/>
                <w:color w:val="000000"/>
                <w:sz w:val="20"/>
                <w:szCs w:val="20"/>
              </w:rPr>
              <w:t>EDUCATIONAL ATTAINMENT (Persons 25 and Older)</w:t>
            </w:r>
          </w:p>
        </w:tc>
      </w:tr>
      <w:tr w:rsidR="00875CEB" w:rsidRPr="00875CEB" w14:paraId="679C76DD" w14:textId="77777777" w:rsidTr="00EB5A40">
        <w:trPr>
          <w:trHeight w:val="300"/>
        </w:trPr>
        <w:tc>
          <w:tcPr>
            <w:tcW w:w="1300" w:type="dxa"/>
            <w:tcBorders>
              <w:top w:val="nil"/>
              <w:left w:val="single" w:sz="8" w:space="0" w:color="auto"/>
              <w:bottom w:val="single" w:sz="4" w:space="0" w:color="auto"/>
              <w:right w:val="single" w:sz="4" w:space="0" w:color="auto"/>
            </w:tcBorders>
            <w:shd w:val="clear" w:color="000000" w:fill="CCFFCC"/>
            <w:vAlign w:val="center"/>
            <w:hideMark/>
          </w:tcPr>
          <w:p w14:paraId="2E575D7F" w14:textId="77777777" w:rsidR="00875CEB" w:rsidRPr="00875CEB" w:rsidRDefault="00875CEB" w:rsidP="00875CEB">
            <w:pPr>
              <w:jc w:val="center"/>
              <w:rPr>
                <w:rFonts w:ascii="Calibri" w:hAnsi="Calibri"/>
                <w:b/>
                <w:bCs/>
                <w:color w:val="000000"/>
                <w:sz w:val="20"/>
                <w:szCs w:val="20"/>
              </w:rPr>
            </w:pPr>
            <w:r w:rsidRPr="00875CEB">
              <w:rPr>
                <w:rFonts w:ascii="Calibri" w:hAnsi="Calibri"/>
                <w:b/>
                <w:bCs/>
                <w:color w:val="000000"/>
                <w:sz w:val="20"/>
                <w:szCs w:val="20"/>
              </w:rPr>
              <w:t> </w:t>
            </w:r>
          </w:p>
        </w:tc>
        <w:tc>
          <w:tcPr>
            <w:tcW w:w="2600" w:type="dxa"/>
            <w:gridSpan w:val="2"/>
            <w:tcBorders>
              <w:top w:val="single" w:sz="4" w:space="0" w:color="auto"/>
              <w:left w:val="nil"/>
              <w:bottom w:val="single" w:sz="4" w:space="0" w:color="auto"/>
              <w:right w:val="single" w:sz="4" w:space="0" w:color="000000"/>
            </w:tcBorders>
            <w:shd w:val="clear" w:color="000000" w:fill="CCFFCC"/>
            <w:vAlign w:val="center"/>
            <w:hideMark/>
          </w:tcPr>
          <w:p w14:paraId="68AA8BA7" w14:textId="77777777" w:rsidR="00875CEB" w:rsidRPr="00875CEB" w:rsidRDefault="00875CEB" w:rsidP="00875CEB">
            <w:pPr>
              <w:jc w:val="center"/>
              <w:rPr>
                <w:rFonts w:ascii="Calibri" w:hAnsi="Calibri"/>
                <w:b/>
                <w:bCs/>
                <w:color w:val="000000"/>
                <w:sz w:val="20"/>
                <w:szCs w:val="20"/>
              </w:rPr>
            </w:pPr>
            <w:r w:rsidRPr="00875CEB">
              <w:rPr>
                <w:rFonts w:ascii="Calibri" w:hAnsi="Calibri"/>
                <w:b/>
                <w:bCs/>
                <w:color w:val="000000"/>
                <w:sz w:val="20"/>
                <w:szCs w:val="20"/>
              </w:rPr>
              <w:t>High School Graduate</w:t>
            </w:r>
          </w:p>
        </w:tc>
        <w:tc>
          <w:tcPr>
            <w:tcW w:w="2600" w:type="dxa"/>
            <w:gridSpan w:val="2"/>
            <w:tcBorders>
              <w:top w:val="single" w:sz="4" w:space="0" w:color="auto"/>
              <w:left w:val="nil"/>
              <w:bottom w:val="single" w:sz="4" w:space="0" w:color="auto"/>
              <w:right w:val="single" w:sz="8" w:space="0" w:color="000000"/>
            </w:tcBorders>
            <w:shd w:val="clear" w:color="000000" w:fill="CCFFCC"/>
            <w:vAlign w:val="center"/>
            <w:hideMark/>
          </w:tcPr>
          <w:p w14:paraId="71BC808C" w14:textId="77777777" w:rsidR="00875CEB" w:rsidRPr="00875CEB" w:rsidRDefault="00875CEB" w:rsidP="00875CEB">
            <w:pPr>
              <w:jc w:val="center"/>
              <w:rPr>
                <w:rFonts w:ascii="Calibri" w:hAnsi="Calibri"/>
                <w:b/>
                <w:bCs/>
                <w:color w:val="000000"/>
                <w:sz w:val="20"/>
                <w:szCs w:val="20"/>
              </w:rPr>
            </w:pPr>
            <w:r w:rsidRPr="00875CEB">
              <w:rPr>
                <w:rFonts w:ascii="Calibri" w:hAnsi="Calibri"/>
                <w:b/>
                <w:bCs/>
                <w:color w:val="000000"/>
                <w:sz w:val="20"/>
                <w:szCs w:val="20"/>
              </w:rPr>
              <w:t>4 Year College Degree or &gt;</w:t>
            </w:r>
          </w:p>
        </w:tc>
      </w:tr>
      <w:tr w:rsidR="00875CEB" w:rsidRPr="00875CEB" w14:paraId="7FDCF5DA" w14:textId="77777777" w:rsidTr="00EB5A40">
        <w:trPr>
          <w:trHeight w:val="300"/>
        </w:trPr>
        <w:tc>
          <w:tcPr>
            <w:tcW w:w="1300" w:type="dxa"/>
            <w:tcBorders>
              <w:top w:val="nil"/>
              <w:left w:val="single" w:sz="8" w:space="0" w:color="auto"/>
              <w:bottom w:val="single" w:sz="4" w:space="0" w:color="auto"/>
              <w:right w:val="single" w:sz="4" w:space="0" w:color="auto"/>
            </w:tcBorders>
            <w:shd w:val="clear" w:color="000000" w:fill="CCFFCC"/>
            <w:vAlign w:val="center"/>
            <w:hideMark/>
          </w:tcPr>
          <w:p w14:paraId="7888EDCC" w14:textId="77777777" w:rsidR="00875CEB" w:rsidRPr="00875CEB" w:rsidRDefault="00875CEB" w:rsidP="00875CEB">
            <w:pPr>
              <w:jc w:val="center"/>
              <w:rPr>
                <w:rFonts w:ascii="Calibri" w:hAnsi="Calibri"/>
                <w:b/>
                <w:bCs/>
                <w:color w:val="000000"/>
                <w:sz w:val="20"/>
                <w:szCs w:val="20"/>
              </w:rPr>
            </w:pPr>
            <w:r w:rsidRPr="00875CEB">
              <w:rPr>
                <w:rFonts w:ascii="Calibri" w:hAnsi="Calibri"/>
                <w:b/>
                <w:bCs/>
                <w:color w:val="000000"/>
                <w:sz w:val="20"/>
                <w:szCs w:val="20"/>
              </w:rPr>
              <w:t> </w:t>
            </w:r>
          </w:p>
        </w:tc>
        <w:tc>
          <w:tcPr>
            <w:tcW w:w="1300" w:type="dxa"/>
            <w:tcBorders>
              <w:top w:val="nil"/>
              <w:left w:val="nil"/>
              <w:bottom w:val="single" w:sz="4" w:space="0" w:color="auto"/>
              <w:right w:val="single" w:sz="4" w:space="0" w:color="auto"/>
            </w:tcBorders>
            <w:shd w:val="clear" w:color="000000" w:fill="CCFFCC"/>
            <w:vAlign w:val="center"/>
            <w:hideMark/>
          </w:tcPr>
          <w:p w14:paraId="3817B26E" w14:textId="77777777" w:rsidR="00875CEB" w:rsidRPr="00875CEB" w:rsidRDefault="00875CEB" w:rsidP="00875CEB">
            <w:pPr>
              <w:jc w:val="center"/>
              <w:rPr>
                <w:rFonts w:ascii="Calibri" w:hAnsi="Calibri"/>
                <w:b/>
                <w:bCs/>
                <w:color w:val="000000"/>
                <w:sz w:val="20"/>
                <w:szCs w:val="20"/>
              </w:rPr>
            </w:pPr>
            <w:r w:rsidRPr="00875CEB">
              <w:rPr>
                <w:rFonts w:ascii="Calibri" w:hAnsi="Calibri"/>
                <w:b/>
                <w:bCs/>
                <w:color w:val="000000"/>
                <w:sz w:val="20"/>
                <w:szCs w:val="20"/>
              </w:rPr>
              <w:t>2000</w:t>
            </w:r>
          </w:p>
        </w:tc>
        <w:tc>
          <w:tcPr>
            <w:tcW w:w="1300" w:type="dxa"/>
            <w:tcBorders>
              <w:top w:val="nil"/>
              <w:left w:val="nil"/>
              <w:bottom w:val="single" w:sz="4" w:space="0" w:color="auto"/>
              <w:right w:val="single" w:sz="4" w:space="0" w:color="auto"/>
            </w:tcBorders>
            <w:shd w:val="clear" w:color="000000" w:fill="CCFFCC"/>
            <w:vAlign w:val="center"/>
            <w:hideMark/>
          </w:tcPr>
          <w:p w14:paraId="0025019A" w14:textId="77777777" w:rsidR="00875CEB" w:rsidRPr="00875CEB" w:rsidRDefault="00875CEB" w:rsidP="00875CEB">
            <w:pPr>
              <w:jc w:val="center"/>
              <w:rPr>
                <w:rFonts w:ascii="Calibri" w:hAnsi="Calibri"/>
                <w:b/>
                <w:bCs/>
                <w:color w:val="000000"/>
                <w:sz w:val="20"/>
                <w:szCs w:val="20"/>
              </w:rPr>
            </w:pPr>
            <w:r w:rsidRPr="00875CEB">
              <w:rPr>
                <w:rFonts w:ascii="Calibri" w:hAnsi="Calibri"/>
                <w:b/>
                <w:bCs/>
                <w:color w:val="000000"/>
                <w:sz w:val="20"/>
                <w:szCs w:val="20"/>
              </w:rPr>
              <w:t>2015 (est)</w:t>
            </w:r>
          </w:p>
        </w:tc>
        <w:tc>
          <w:tcPr>
            <w:tcW w:w="1300" w:type="dxa"/>
            <w:tcBorders>
              <w:top w:val="nil"/>
              <w:left w:val="nil"/>
              <w:bottom w:val="single" w:sz="4" w:space="0" w:color="auto"/>
              <w:right w:val="single" w:sz="4" w:space="0" w:color="auto"/>
            </w:tcBorders>
            <w:shd w:val="clear" w:color="000000" w:fill="CCFFCC"/>
            <w:vAlign w:val="center"/>
            <w:hideMark/>
          </w:tcPr>
          <w:p w14:paraId="26BB2A0B" w14:textId="77777777" w:rsidR="00875CEB" w:rsidRPr="00875CEB" w:rsidRDefault="00875CEB" w:rsidP="00875CEB">
            <w:pPr>
              <w:jc w:val="center"/>
              <w:rPr>
                <w:rFonts w:ascii="Calibri" w:hAnsi="Calibri"/>
                <w:b/>
                <w:bCs/>
                <w:color w:val="000000"/>
                <w:sz w:val="20"/>
                <w:szCs w:val="20"/>
              </w:rPr>
            </w:pPr>
            <w:r w:rsidRPr="00875CEB">
              <w:rPr>
                <w:rFonts w:ascii="Calibri" w:hAnsi="Calibri"/>
                <w:b/>
                <w:bCs/>
                <w:color w:val="000000"/>
                <w:sz w:val="20"/>
                <w:szCs w:val="20"/>
              </w:rPr>
              <w:t>2000</w:t>
            </w:r>
          </w:p>
        </w:tc>
        <w:tc>
          <w:tcPr>
            <w:tcW w:w="1300" w:type="dxa"/>
            <w:tcBorders>
              <w:top w:val="nil"/>
              <w:left w:val="nil"/>
              <w:bottom w:val="single" w:sz="4" w:space="0" w:color="auto"/>
              <w:right w:val="single" w:sz="8" w:space="0" w:color="auto"/>
            </w:tcBorders>
            <w:shd w:val="clear" w:color="000000" w:fill="CCFFCC"/>
            <w:vAlign w:val="center"/>
            <w:hideMark/>
          </w:tcPr>
          <w:p w14:paraId="7548AB35" w14:textId="77777777" w:rsidR="00875CEB" w:rsidRPr="00875CEB" w:rsidRDefault="00875CEB" w:rsidP="00875CEB">
            <w:pPr>
              <w:jc w:val="center"/>
              <w:rPr>
                <w:rFonts w:ascii="Calibri" w:hAnsi="Calibri"/>
                <w:b/>
                <w:bCs/>
                <w:color w:val="000000"/>
                <w:sz w:val="20"/>
                <w:szCs w:val="20"/>
              </w:rPr>
            </w:pPr>
            <w:r w:rsidRPr="00875CEB">
              <w:rPr>
                <w:rFonts w:ascii="Calibri" w:hAnsi="Calibri"/>
                <w:b/>
                <w:bCs/>
                <w:color w:val="000000"/>
                <w:sz w:val="20"/>
                <w:szCs w:val="20"/>
              </w:rPr>
              <w:t>2015 (est)</w:t>
            </w:r>
          </w:p>
        </w:tc>
      </w:tr>
      <w:tr w:rsidR="00875CEB" w:rsidRPr="00875CEB" w14:paraId="676C1435" w14:textId="77777777" w:rsidTr="00EB5A40">
        <w:trPr>
          <w:trHeight w:val="540"/>
        </w:trPr>
        <w:tc>
          <w:tcPr>
            <w:tcW w:w="1300" w:type="dxa"/>
            <w:tcBorders>
              <w:top w:val="nil"/>
              <w:left w:val="single" w:sz="8" w:space="0" w:color="auto"/>
              <w:bottom w:val="single" w:sz="4" w:space="0" w:color="auto"/>
              <w:right w:val="single" w:sz="4" w:space="0" w:color="auto"/>
            </w:tcBorders>
            <w:shd w:val="clear" w:color="000000" w:fill="CCFFCC"/>
            <w:vAlign w:val="center"/>
            <w:hideMark/>
          </w:tcPr>
          <w:p w14:paraId="5AD0B816" w14:textId="77777777" w:rsidR="00875CEB" w:rsidRPr="00875CEB" w:rsidRDefault="00875CEB" w:rsidP="00875CEB">
            <w:pPr>
              <w:rPr>
                <w:rFonts w:ascii="Calibri" w:hAnsi="Calibri"/>
                <w:b/>
                <w:bCs/>
                <w:color w:val="000000"/>
                <w:sz w:val="20"/>
                <w:szCs w:val="20"/>
              </w:rPr>
            </w:pPr>
            <w:r w:rsidRPr="00875CEB">
              <w:rPr>
                <w:rFonts w:ascii="Calibri" w:hAnsi="Calibri"/>
                <w:b/>
                <w:bCs/>
                <w:color w:val="000000"/>
                <w:sz w:val="20"/>
                <w:szCs w:val="20"/>
              </w:rPr>
              <w:t>Clifton</w:t>
            </w:r>
          </w:p>
        </w:tc>
        <w:tc>
          <w:tcPr>
            <w:tcW w:w="1300" w:type="dxa"/>
            <w:tcBorders>
              <w:top w:val="nil"/>
              <w:left w:val="nil"/>
              <w:bottom w:val="single" w:sz="4" w:space="0" w:color="auto"/>
              <w:right w:val="single" w:sz="4" w:space="0" w:color="auto"/>
            </w:tcBorders>
            <w:shd w:val="clear" w:color="auto" w:fill="auto"/>
            <w:vAlign w:val="center"/>
            <w:hideMark/>
          </w:tcPr>
          <w:p w14:paraId="143302A1" w14:textId="77777777" w:rsidR="00875CEB" w:rsidRPr="00875CEB" w:rsidRDefault="00875CEB" w:rsidP="00875CEB">
            <w:pPr>
              <w:jc w:val="center"/>
              <w:rPr>
                <w:rFonts w:ascii="Calibri" w:hAnsi="Calibri"/>
                <w:color w:val="000000"/>
                <w:sz w:val="20"/>
                <w:szCs w:val="20"/>
              </w:rPr>
            </w:pPr>
            <w:r w:rsidRPr="00875CEB">
              <w:rPr>
                <w:rFonts w:ascii="Calibri" w:hAnsi="Calibri"/>
                <w:color w:val="000000"/>
                <w:sz w:val="20"/>
                <w:szCs w:val="20"/>
              </w:rPr>
              <w:t>85.70%</w:t>
            </w:r>
          </w:p>
        </w:tc>
        <w:tc>
          <w:tcPr>
            <w:tcW w:w="1300" w:type="dxa"/>
            <w:tcBorders>
              <w:top w:val="nil"/>
              <w:left w:val="nil"/>
              <w:bottom w:val="single" w:sz="4" w:space="0" w:color="auto"/>
              <w:right w:val="single" w:sz="4" w:space="0" w:color="auto"/>
            </w:tcBorders>
            <w:shd w:val="clear" w:color="auto" w:fill="auto"/>
            <w:vAlign w:val="center"/>
            <w:hideMark/>
          </w:tcPr>
          <w:p w14:paraId="03F89DC7" w14:textId="77777777" w:rsidR="00875CEB" w:rsidRPr="00875CEB" w:rsidRDefault="00875CEB" w:rsidP="00875CEB">
            <w:pPr>
              <w:jc w:val="center"/>
              <w:rPr>
                <w:rFonts w:ascii="Calibri" w:hAnsi="Calibri"/>
                <w:color w:val="000000"/>
                <w:sz w:val="20"/>
                <w:szCs w:val="20"/>
              </w:rPr>
            </w:pPr>
            <w:r w:rsidRPr="00875CEB">
              <w:rPr>
                <w:rFonts w:ascii="Calibri" w:hAnsi="Calibri"/>
                <w:color w:val="000000"/>
                <w:sz w:val="20"/>
                <w:szCs w:val="20"/>
              </w:rPr>
              <w:t>87.90%</w:t>
            </w:r>
          </w:p>
        </w:tc>
        <w:tc>
          <w:tcPr>
            <w:tcW w:w="1300" w:type="dxa"/>
            <w:tcBorders>
              <w:top w:val="nil"/>
              <w:left w:val="nil"/>
              <w:bottom w:val="single" w:sz="4" w:space="0" w:color="auto"/>
              <w:right w:val="single" w:sz="4" w:space="0" w:color="auto"/>
            </w:tcBorders>
            <w:shd w:val="clear" w:color="auto" w:fill="auto"/>
            <w:vAlign w:val="center"/>
            <w:hideMark/>
          </w:tcPr>
          <w:p w14:paraId="73C9931D" w14:textId="77777777" w:rsidR="00875CEB" w:rsidRPr="00875CEB" w:rsidRDefault="00875CEB" w:rsidP="00875CEB">
            <w:pPr>
              <w:jc w:val="center"/>
              <w:rPr>
                <w:rFonts w:ascii="Calibri" w:hAnsi="Calibri"/>
                <w:color w:val="000000"/>
                <w:sz w:val="20"/>
                <w:szCs w:val="20"/>
              </w:rPr>
            </w:pPr>
            <w:r w:rsidRPr="00875CEB">
              <w:rPr>
                <w:rFonts w:ascii="Calibri" w:hAnsi="Calibri"/>
                <w:color w:val="000000"/>
                <w:sz w:val="20"/>
                <w:szCs w:val="20"/>
              </w:rPr>
              <w:t>13.30%</w:t>
            </w:r>
          </w:p>
        </w:tc>
        <w:tc>
          <w:tcPr>
            <w:tcW w:w="1300" w:type="dxa"/>
            <w:tcBorders>
              <w:top w:val="nil"/>
              <w:left w:val="nil"/>
              <w:bottom w:val="single" w:sz="4" w:space="0" w:color="auto"/>
              <w:right w:val="single" w:sz="8" w:space="0" w:color="auto"/>
            </w:tcBorders>
            <w:shd w:val="clear" w:color="auto" w:fill="auto"/>
            <w:vAlign w:val="center"/>
            <w:hideMark/>
          </w:tcPr>
          <w:p w14:paraId="171DA5BD" w14:textId="77777777" w:rsidR="00875CEB" w:rsidRPr="00875CEB" w:rsidRDefault="00875CEB" w:rsidP="00875CEB">
            <w:pPr>
              <w:jc w:val="center"/>
              <w:rPr>
                <w:rFonts w:ascii="Calibri" w:hAnsi="Calibri"/>
                <w:color w:val="000000"/>
                <w:sz w:val="20"/>
                <w:szCs w:val="20"/>
              </w:rPr>
            </w:pPr>
            <w:r w:rsidRPr="00875CEB">
              <w:rPr>
                <w:rFonts w:ascii="Calibri" w:hAnsi="Calibri"/>
                <w:color w:val="000000"/>
                <w:sz w:val="20"/>
                <w:szCs w:val="20"/>
              </w:rPr>
              <w:t>18.50%</w:t>
            </w:r>
          </w:p>
        </w:tc>
      </w:tr>
      <w:tr w:rsidR="00875CEB" w:rsidRPr="00875CEB" w14:paraId="52CCD698" w14:textId="77777777" w:rsidTr="00EB5A40">
        <w:trPr>
          <w:trHeight w:val="580"/>
        </w:trPr>
        <w:tc>
          <w:tcPr>
            <w:tcW w:w="1300" w:type="dxa"/>
            <w:tcBorders>
              <w:top w:val="nil"/>
              <w:left w:val="single" w:sz="8" w:space="0" w:color="auto"/>
              <w:bottom w:val="single" w:sz="4" w:space="0" w:color="auto"/>
              <w:right w:val="single" w:sz="4" w:space="0" w:color="auto"/>
            </w:tcBorders>
            <w:shd w:val="clear" w:color="000000" w:fill="CCFFCC"/>
            <w:vAlign w:val="center"/>
            <w:hideMark/>
          </w:tcPr>
          <w:p w14:paraId="38501936" w14:textId="77777777" w:rsidR="00875CEB" w:rsidRPr="00875CEB" w:rsidRDefault="00875CEB" w:rsidP="00875CEB">
            <w:pPr>
              <w:rPr>
                <w:rFonts w:ascii="Calibri" w:hAnsi="Calibri"/>
                <w:b/>
                <w:bCs/>
                <w:color w:val="000000"/>
                <w:sz w:val="20"/>
                <w:szCs w:val="20"/>
              </w:rPr>
            </w:pPr>
            <w:r w:rsidRPr="00875CEB">
              <w:rPr>
                <w:rFonts w:ascii="Calibri" w:hAnsi="Calibri"/>
                <w:b/>
                <w:bCs/>
                <w:color w:val="000000"/>
                <w:sz w:val="20"/>
                <w:szCs w:val="20"/>
              </w:rPr>
              <w:t>Penobscot County</w:t>
            </w:r>
          </w:p>
        </w:tc>
        <w:tc>
          <w:tcPr>
            <w:tcW w:w="1300" w:type="dxa"/>
            <w:tcBorders>
              <w:top w:val="nil"/>
              <w:left w:val="nil"/>
              <w:bottom w:val="single" w:sz="4" w:space="0" w:color="auto"/>
              <w:right w:val="single" w:sz="4" w:space="0" w:color="auto"/>
            </w:tcBorders>
            <w:shd w:val="clear" w:color="auto" w:fill="auto"/>
            <w:vAlign w:val="center"/>
            <w:hideMark/>
          </w:tcPr>
          <w:p w14:paraId="73E3EBEE" w14:textId="77777777" w:rsidR="00875CEB" w:rsidRPr="00875CEB" w:rsidRDefault="00875CEB" w:rsidP="00875CEB">
            <w:pPr>
              <w:jc w:val="center"/>
              <w:rPr>
                <w:rFonts w:ascii="Calibri" w:hAnsi="Calibri"/>
                <w:color w:val="000000"/>
                <w:sz w:val="20"/>
                <w:szCs w:val="20"/>
              </w:rPr>
            </w:pPr>
            <w:r w:rsidRPr="00875CEB">
              <w:rPr>
                <w:rFonts w:ascii="Calibri" w:hAnsi="Calibri"/>
                <w:color w:val="000000"/>
                <w:sz w:val="20"/>
                <w:szCs w:val="20"/>
              </w:rPr>
              <w:t>85.70%</w:t>
            </w:r>
          </w:p>
        </w:tc>
        <w:tc>
          <w:tcPr>
            <w:tcW w:w="1300" w:type="dxa"/>
            <w:tcBorders>
              <w:top w:val="nil"/>
              <w:left w:val="nil"/>
              <w:bottom w:val="single" w:sz="4" w:space="0" w:color="auto"/>
              <w:right w:val="single" w:sz="4" w:space="0" w:color="auto"/>
            </w:tcBorders>
            <w:shd w:val="clear" w:color="auto" w:fill="auto"/>
            <w:vAlign w:val="center"/>
            <w:hideMark/>
          </w:tcPr>
          <w:p w14:paraId="09DEF5F6" w14:textId="77777777" w:rsidR="00875CEB" w:rsidRPr="00875CEB" w:rsidRDefault="00875CEB" w:rsidP="00875CEB">
            <w:pPr>
              <w:jc w:val="center"/>
              <w:rPr>
                <w:rFonts w:ascii="Calibri" w:hAnsi="Calibri"/>
                <w:color w:val="000000"/>
                <w:sz w:val="20"/>
                <w:szCs w:val="20"/>
              </w:rPr>
            </w:pPr>
            <w:r w:rsidRPr="00875CEB">
              <w:rPr>
                <w:rFonts w:ascii="Calibri" w:hAnsi="Calibri"/>
                <w:color w:val="000000"/>
                <w:sz w:val="20"/>
                <w:szCs w:val="20"/>
              </w:rPr>
              <w:t>90.80%</w:t>
            </w:r>
          </w:p>
        </w:tc>
        <w:tc>
          <w:tcPr>
            <w:tcW w:w="1300" w:type="dxa"/>
            <w:tcBorders>
              <w:top w:val="nil"/>
              <w:left w:val="nil"/>
              <w:bottom w:val="single" w:sz="4" w:space="0" w:color="auto"/>
              <w:right w:val="single" w:sz="4" w:space="0" w:color="auto"/>
            </w:tcBorders>
            <w:shd w:val="clear" w:color="auto" w:fill="auto"/>
            <w:vAlign w:val="center"/>
            <w:hideMark/>
          </w:tcPr>
          <w:p w14:paraId="498E9271" w14:textId="77777777" w:rsidR="00875CEB" w:rsidRPr="00875CEB" w:rsidRDefault="00875CEB" w:rsidP="00875CEB">
            <w:pPr>
              <w:jc w:val="center"/>
              <w:rPr>
                <w:rFonts w:ascii="Calibri" w:hAnsi="Calibri"/>
                <w:color w:val="000000"/>
                <w:sz w:val="20"/>
                <w:szCs w:val="20"/>
              </w:rPr>
            </w:pPr>
            <w:r w:rsidRPr="00875CEB">
              <w:rPr>
                <w:rFonts w:ascii="Calibri" w:hAnsi="Calibri"/>
                <w:color w:val="000000"/>
                <w:sz w:val="20"/>
                <w:szCs w:val="20"/>
              </w:rPr>
              <w:t>20.30%</w:t>
            </w:r>
          </w:p>
        </w:tc>
        <w:tc>
          <w:tcPr>
            <w:tcW w:w="1300" w:type="dxa"/>
            <w:tcBorders>
              <w:top w:val="nil"/>
              <w:left w:val="nil"/>
              <w:bottom w:val="single" w:sz="4" w:space="0" w:color="auto"/>
              <w:right w:val="single" w:sz="8" w:space="0" w:color="auto"/>
            </w:tcBorders>
            <w:shd w:val="clear" w:color="auto" w:fill="auto"/>
            <w:vAlign w:val="center"/>
            <w:hideMark/>
          </w:tcPr>
          <w:p w14:paraId="7D94DC1A" w14:textId="77777777" w:rsidR="00875CEB" w:rsidRPr="00875CEB" w:rsidRDefault="00875CEB" w:rsidP="00875CEB">
            <w:pPr>
              <w:jc w:val="center"/>
              <w:rPr>
                <w:rFonts w:ascii="Calibri" w:hAnsi="Calibri"/>
                <w:color w:val="000000"/>
                <w:sz w:val="20"/>
                <w:szCs w:val="20"/>
              </w:rPr>
            </w:pPr>
            <w:r w:rsidRPr="00875CEB">
              <w:rPr>
                <w:rFonts w:ascii="Calibri" w:hAnsi="Calibri"/>
                <w:color w:val="000000"/>
                <w:sz w:val="20"/>
                <w:szCs w:val="20"/>
              </w:rPr>
              <w:t>24.50%</w:t>
            </w:r>
          </w:p>
        </w:tc>
      </w:tr>
      <w:tr w:rsidR="00875CEB" w:rsidRPr="00875CEB" w14:paraId="63282EA1" w14:textId="77777777" w:rsidTr="00EB5A40">
        <w:trPr>
          <w:trHeight w:val="580"/>
        </w:trPr>
        <w:tc>
          <w:tcPr>
            <w:tcW w:w="1300" w:type="dxa"/>
            <w:tcBorders>
              <w:top w:val="nil"/>
              <w:left w:val="single" w:sz="8" w:space="0" w:color="auto"/>
              <w:bottom w:val="single" w:sz="4" w:space="0" w:color="auto"/>
              <w:right w:val="single" w:sz="4" w:space="0" w:color="auto"/>
            </w:tcBorders>
            <w:shd w:val="clear" w:color="000000" w:fill="CCFFCC"/>
            <w:vAlign w:val="center"/>
            <w:hideMark/>
          </w:tcPr>
          <w:p w14:paraId="17515685" w14:textId="77777777" w:rsidR="00875CEB" w:rsidRPr="00875CEB" w:rsidRDefault="00875CEB" w:rsidP="00875CEB">
            <w:pPr>
              <w:rPr>
                <w:rFonts w:ascii="Calibri" w:hAnsi="Calibri"/>
                <w:b/>
                <w:bCs/>
                <w:color w:val="000000"/>
                <w:sz w:val="20"/>
                <w:szCs w:val="20"/>
              </w:rPr>
            </w:pPr>
            <w:r w:rsidRPr="00875CEB">
              <w:rPr>
                <w:rFonts w:ascii="Calibri" w:hAnsi="Calibri"/>
                <w:b/>
                <w:bCs/>
                <w:color w:val="000000"/>
                <w:sz w:val="20"/>
                <w:szCs w:val="20"/>
              </w:rPr>
              <w:t>Hancock County</w:t>
            </w:r>
          </w:p>
        </w:tc>
        <w:tc>
          <w:tcPr>
            <w:tcW w:w="1300" w:type="dxa"/>
            <w:tcBorders>
              <w:top w:val="nil"/>
              <w:left w:val="nil"/>
              <w:bottom w:val="single" w:sz="4" w:space="0" w:color="auto"/>
              <w:right w:val="single" w:sz="4" w:space="0" w:color="auto"/>
            </w:tcBorders>
            <w:shd w:val="clear" w:color="auto" w:fill="auto"/>
            <w:vAlign w:val="center"/>
            <w:hideMark/>
          </w:tcPr>
          <w:p w14:paraId="2670E2DE" w14:textId="77777777" w:rsidR="00875CEB" w:rsidRPr="00875CEB" w:rsidRDefault="00875CEB" w:rsidP="00875CEB">
            <w:pPr>
              <w:jc w:val="center"/>
              <w:rPr>
                <w:rFonts w:ascii="Calibri" w:hAnsi="Calibri"/>
                <w:color w:val="000000"/>
                <w:sz w:val="20"/>
                <w:szCs w:val="20"/>
              </w:rPr>
            </w:pPr>
            <w:r w:rsidRPr="00875CEB">
              <w:rPr>
                <w:rFonts w:ascii="Calibri" w:hAnsi="Calibri"/>
                <w:color w:val="000000"/>
                <w:sz w:val="20"/>
                <w:szCs w:val="20"/>
              </w:rPr>
              <w:t>87.80%</w:t>
            </w:r>
          </w:p>
        </w:tc>
        <w:tc>
          <w:tcPr>
            <w:tcW w:w="1300" w:type="dxa"/>
            <w:tcBorders>
              <w:top w:val="nil"/>
              <w:left w:val="nil"/>
              <w:bottom w:val="single" w:sz="4" w:space="0" w:color="auto"/>
              <w:right w:val="single" w:sz="4" w:space="0" w:color="auto"/>
            </w:tcBorders>
            <w:shd w:val="clear" w:color="auto" w:fill="auto"/>
            <w:vAlign w:val="center"/>
            <w:hideMark/>
          </w:tcPr>
          <w:p w14:paraId="53BC1B1D" w14:textId="77777777" w:rsidR="00875CEB" w:rsidRPr="00875CEB" w:rsidRDefault="00875CEB" w:rsidP="00875CEB">
            <w:pPr>
              <w:jc w:val="center"/>
              <w:rPr>
                <w:rFonts w:ascii="Calibri" w:hAnsi="Calibri"/>
                <w:color w:val="000000"/>
                <w:sz w:val="20"/>
                <w:szCs w:val="20"/>
              </w:rPr>
            </w:pPr>
            <w:r w:rsidRPr="00875CEB">
              <w:rPr>
                <w:rFonts w:ascii="Calibri" w:hAnsi="Calibri"/>
                <w:color w:val="000000"/>
                <w:sz w:val="20"/>
                <w:szCs w:val="20"/>
              </w:rPr>
              <w:t>93.70%</w:t>
            </w:r>
          </w:p>
        </w:tc>
        <w:tc>
          <w:tcPr>
            <w:tcW w:w="1300" w:type="dxa"/>
            <w:tcBorders>
              <w:top w:val="nil"/>
              <w:left w:val="nil"/>
              <w:bottom w:val="single" w:sz="4" w:space="0" w:color="auto"/>
              <w:right w:val="single" w:sz="4" w:space="0" w:color="auto"/>
            </w:tcBorders>
            <w:shd w:val="clear" w:color="auto" w:fill="auto"/>
            <w:vAlign w:val="center"/>
            <w:hideMark/>
          </w:tcPr>
          <w:p w14:paraId="726917C6" w14:textId="77777777" w:rsidR="00875CEB" w:rsidRPr="00875CEB" w:rsidRDefault="00875CEB" w:rsidP="00875CEB">
            <w:pPr>
              <w:jc w:val="center"/>
              <w:rPr>
                <w:rFonts w:ascii="Calibri" w:hAnsi="Calibri"/>
                <w:color w:val="000000"/>
                <w:sz w:val="20"/>
                <w:szCs w:val="20"/>
              </w:rPr>
            </w:pPr>
            <w:r w:rsidRPr="00875CEB">
              <w:rPr>
                <w:rFonts w:ascii="Calibri" w:hAnsi="Calibri"/>
                <w:color w:val="000000"/>
                <w:sz w:val="20"/>
                <w:szCs w:val="20"/>
              </w:rPr>
              <w:t>27.10%</w:t>
            </w:r>
          </w:p>
        </w:tc>
        <w:tc>
          <w:tcPr>
            <w:tcW w:w="1300" w:type="dxa"/>
            <w:tcBorders>
              <w:top w:val="nil"/>
              <w:left w:val="nil"/>
              <w:bottom w:val="single" w:sz="4" w:space="0" w:color="auto"/>
              <w:right w:val="single" w:sz="8" w:space="0" w:color="auto"/>
            </w:tcBorders>
            <w:shd w:val="clear" w:color="auto" w:fill="auto"/>
            <w:vAlign w:val="center"/>
            <w:hideMark/>
          </w:tcPr>
          <w:p w14:paraId="44C20AE1" w14:textId="77777777" w:rsidR="00875CEB" w:rsidRPr="00875CEB" w:rsidRDefault="00875CEB" w:rsidP="00875CEB">
            <w:pPr>
              <w:jc w:val="center"/>
              <w:rPr>
                <w:rFonts w:ascii="Calibri" w:hAnsi="Calibri"/>
                <w:color w:val="000000"/>
                <w:sz w:val="20"/>
                <w:szCs w:val="20"/>
              </w:rPr>
            </w:pPr>
            <w:r w:rsidRPr="00875CEB">
              <w:rPr>
                <w:rFonts w:ascii="Calibri" w:hAnsi="Calibri"/>
                <w:color w:val="000000"/>
                <w:sz w:val="20"/>
                <w:szCs w:val="20"/>
              </w:rPr>
              <w:t>32.70%</w:t>
            </w:r>
          </w:p>
        </w:tc>
      </w:tr>
      <w:tr w:rsidR="00875CEB" w:rsidRPr="00875CEB" w14:paraId="0532C782" w14:textId="77777777" w:rsidTr="00EB5A40">
        <w:trPr>
          <w:trHeight w:val="580"/>
        </w:trPr>
        <w:tc>
          <w:tcPr>
            <w:tcW w:w="1300" w:type="dxa"/>
            <w:tcBorders>
              <w:top w:val="nil"/>
              <w:left w:val="single" w:sz="8" w:space="0" w:color="auto"/>
              <w:bottom w:val="single" w:sz="8" w:space="0" w:color="auto"/>
              <w:right w:val="single" w:sz="4" w:space="0" w:color="auto"/>
            </w:tcBorders>
            <w:shd w:val="clear" w:color="000000" w:fill="CCFFCC"/>
            <w:vAlign w:val="center"/>
            <w:hideMark/>
          </w:tcPr>
          <w:p w14:paraId="1791CEFA" w14:textId="77777777" w:rsidR="00875CEB" w:rsidRPr="00875CEB" w:rsidRDefault="00875CEB" w:rsidP="00875CEB">
            <w:pPr>
              <w:rPr>
                <w:rFonts w:ascii="Calibri" w:hAnsi="Calibri"/>
                <w:b/>
                <w:bCs/>
                <w:color w:val="000000"/>
                <w:sz w:val="20"/>
                <w:szCs w:val="20"/>
              </w:rPr>
            </w:pPr>
            <w:r w:rsidRPr="00875CEB">
              <w:rPr>
                <w:rFonts w:ascii="Calibri" w:hAnsi="Calibri"/>
                <w:b/>
                <w:bCs/>
                <w:color w:val="000000"/>
                <w:sz w:val="20"/>
                <w:szCs w:val="20"/>
              </w:rPr>
              <w:t>State of Maine</w:t>
            </w:r>
          </w:p>
        </w:tc>
        <w:tc>
          <w:tcPr>
            <w:tcW w:w="1300" w:type="dxa"/>
            <w:tcBorders>
              <w:top w:val="nil"/>
              <w:left w:val="nil"/>
              <w:bottom w:val="single" w:sz="8" w:space="0" w:color="auto"/>
              <w:right w:val="single" w:sz="4" w:space="0" w:color="auto"/>
            </w:tcBorders>
            <w:shd w:val="clear" w:color="auto" w:fill="auto"/>
            <w:vAlign w:val="center"/>
            <w:hideMark/>
          </w:tcPr>
          <w:p w14:paraId="4FBE034B" w14:textId="77777777" w:rsidR="00875CEB" w:rsidRPr="00875CEB" w:rsidRDefault="00875CEB" w:rsidP="00875CEB">
            <w:pPr>
              <w:jc w:val="center"/>
              <w:rPr>
                <w:rFonts w:ascii="Calibri" w:hAnsi="Calibri"/>
                <w:color w:val="000000"/>
                <w:sz w:val="20"/>
                <w:szCs w:val="20"/>
              </w:rPr>
            </w:pPr>
            <w:r w:rsidRPr="00875CEB">
              <w:rPr>
                <w:rFonts w:ascii="Calibri" w:hAnsi="Calibri"/>
                <w:color w:val="000000"/>
                <w:sz w:val="20"/>
                <w:szCs w:val="20"/>
              </w:rPr>
              <w:t>85.40%</w:t>
            </w:r>
          </w:p>
        </w:tc>
        <w:tc>
          <w:tcPr>
            <w:tcW w:w="1300" w:type="dxa"/>
            <w:tcBorders>
              <w:top w:val="nil"/>
              <w:left w:val="nil"/>
              <w:bottom w:val="single" w:sz="8" w:space="0" w:color="auto"/>
              <w:right w:val="single" w:sz="4" w:space="0" w:color="auto"/>
            </w:tcBorders>
            <w:shd w:val="clear" w:color="auto" w:fill="auto"/>
            <w:vAlign w:val="center"/>
            <w:hideMark/>
          </w:tcPr>
          <w:p w14:paraId="4791301C" w14:textId="77777777" w:rsidR="00875CEB" w:rsidRPr="00875CEB" w:rsidRDefault="00875CEB" w:rsidP="00875CEB">
            <w:pPr>
              <w:jc w:val="center"/>
              <w:rPr>
                <w:rFonts w:ascii="Calibri" w:hAnsi="Calibri"/>
                <w:color w:val="000000"/>
                <w:sz w:val="20"/>
                <w:szCs w:val="20"/>
              </w:rPr>
            </w:pPr>
            <w:r w:rsidRPr="00875CEB">
              <w:rPr>
                <w:rFonts w:ascii="Calibri" w:hAnsi="Calibri"/>
                <w:color w:val="000000"/>
                <w:sz w:val="20"/>
                <w:szCs w:val="20"/>
              </w:rPr>
              <w:t>91.60%</w:t>
            </w:r>
          </w:p>
        </w:tc>
        <w:tc>
          <w:tcPr>
            <w:tcW w:w="1300" w:type="dxa"/>
            <w:tcBorders>
              <w:top w:val="nil"/>
              <w:left w:val="nil"/>
              <w:bottom w:val="single" w:sz="8" w:space="0" w:color="auto"/>
              <w:right w:val="single" w:sz="4" w:space="0" w:color="auto"/>
            </w:tcBorders>
            <w:shd w:val="clear" w:color="auto" w:fill="auto"/>
            <w:vAlign w:val="center"/>
            <w:hideMark/>
          </w:tcPr>
          <w:p w14:paraId="27EF702D" w14:textId="77777777" w:rsidR="00875CEB" w:rsidRPr="00875CEB" w:rsidRDefault="00875CEB" w:rsidP="00875CEB">
            <w:pPr>
              <w:jc w:val="center"/>
              <w:rPr>
                <w:rFonts w:ascii="Calibri" w:hAnsi="Calibri"/>
                <w:color w:val="000000"/>
                <w:sz w:val="20"/>
                <w:szCs w:val="20"/>
              </w:rPr>
            </w:pPr>
            <w:r w:rsidRPr="00875CEB">
              <w:rPr>
                <w:rFonts w:ascii="Calibri" w:hAnsi="Calibri"/>
                <w:color w:val="000000"/>
                <w:sz w:val="20"/>
                <w:szCs w:val="20"/>
              </w:rPr>
              <w:t>22.90%</w:t>
            </w:r>
          </w:p>
        </w:tc>
        <w:tc>
          <w:tcPr>
            <w:tcW w:w="1300" w:type="dxa"/>
            <w:tcBorders>
              <w:top w:val="nil"/>
              <w:left w:val="nil"/>
              <w:bottom w:val="single" w:sz="8" w:space="0" w:color="auto"/>
              <w:right w:val="single" w:sz="8" w:space="0" w:color="auto"/>
            </w:tcBorders>
            <w:shd w:val="clear" w:color="auto" w:fill="auto"/>
            <w:vAlign w:val="center"/>
            <w:hideMark/>
          </w:tcPr>
          <w:p w14:paraId="27AF2532" w14:textId="77777777" w:rsidR="00875CEB" w:rsidRPr="00875CEB" w:rsidRDefault="00875CEB" w:rsidP="00875CEB">
            <w:pPr>
              <w:jc w:val="center"/>
              <w:rPr>
                <w:rFonts w:ascii="Calibri" w:hAnsi="Calibri"/>
                <w:color w:val="000000"/>
                <w:sz w:val="20"/>
                <w:szCs w:val="20"/>
              </w:rPr>
            </w:pPr>
            <w:r w:rsidRPr="00875CEB">
              <w:rPr>
                <w:rFonts w:ascii="Calibri" w:hAnsi="Calibri"/>
                <w:color w:val="000000"/>
                <w:sz w:val="20"/>
                <w:szCs w:val="20"/>
              </w:rPr>
              <w:t>29.00%</w:t>
            </w:r>
          </w:p>
        </w:tc>
      </w:tr>
    </w:tbl>
    <w:p w14:paraId="7B4B7D63" w14:textId="244A4B21" w:rsidR="00965424" w:rsidRDefault="00875CEB" w:rsidP="00965424">
      <w:pPr>
        <w:widowControl w:val="0"/>
        <w:spacing w:after="120"/>
      </w:pPr>
      <w:r>
        <w:tab/>
      </w:r>
      <w:r w:rsidR="00965424">
        <w:t xml:space="preserve">The table shows the percent of population 25 years and older graduated </w:t>
      </w:r>
      <w:r>
        <w:t xml:space="preserve">from </w:t>
      </w:r>
      <w:r w:rsidR="00965424">
        <w:t xml:space="preserve">high school </w:t>
      </w:r>
      <w:r>
        <w:t>or</w:t>
      </w:r>
      <w:r w:rsidR="00965424">
        <w:t xml:space="preserve"> obtained a minimum of a </w:t>
      </w:r>
      <w:r>
        <w:t>four-year d</w:t>
      </w:r>
      <w:r w:rsidR="00965424">
        <w:t xml:space="preserve">egree.  The percentage of the Clifton population </w:t>
      </w:r>
      <w:r>
        <w:t>obtaining</w:t>
      </w:r>
      <w:r w:rsidR="00965424">
        <w:t xml:space="preserve"> high school diplomas and </w:t>
      </w:r>
      <w:r>
        <w:t>four-year degrees</w:t>
      </w:r>
      <w:r w:rsidR="00965424">
        <w:t xml:space="preserve"> or higher is smaller than that of Penobscot and Hancock Counties and the State as a whole.  However, the percentage of Clifton residents with th</w:t>
      </w:r>
      <w:r>
        <w:t xml:space="preserve">ese two levels of education </w:t>
      </w:r>
      <w:r w:rsidR="00965424">
        <w:t>increased between 2000 and 2015.</w:t>
      </w:r>
    </w:p>
    <w:p w14:paraId="657290A6" w14:textId="4A54B997" w:rsidR="00965424" w:rsidRDefault="00875CEB" w:rsidP="00965424">
      <w:pPr>
        <w:widowControl w:val="0"/>
        <w:spacing w:after="120"/>
      </w:pPr>
      <w:r>
        <w:tab/>
      </w:r>
      <w:r w:rsidR="00965424">
        <w:t xml:space="preserve">Generally, people attend </w:t>
      </w:r>
      <w:r w:rsidR="000B4A21">
        <w:t>post high school education</w:t>
      </w:r>
      <w:r w:rsidR="00965424">
        <w:t xml:space="preserve"> as a way of ensuring greater economic opportunity.  With this comes the tendency to migrate to places where the opportunities are the greatest. </w:t>
      </w:r>
      <w:r w:rsidR="000B4A21">
        <w:t xml:space="preserve"> </w:t>
      </w:r>
      <w:r w:rsidR="00965424">
        <w:t xml:space="preserve">This propagates the cycle of decreasing young adult, entry-level workforce population. </w:t>
      </w:r>
      <w:r w:rsidR="000B4A21">
        <w:t xml:space="preserve"> </w:t>
      </w:r>
      <w:r w:rsidR="00965424">
        <w:t xml:space="preserve">It is important to remember, given current trends of our mobile society, individual educational attainment levels are not a direct reflection of educational attitudes of the geographical area. </w:t>
      </w:r>
      <w:r w:rsidR="000B4A21">
        <w:t xml:space="preserve"> </w:t>
      </w:r>
      <w:r w:rsidR="00965424">
        <w:t>The distribution and comparison figures shown in the table are more a reflection of economic labor force conditions, trends in mobility and quality of life decisions rather than a reflection of the school system.</w:t>
      </w:r>
    </w:p>
    <w:p w14:paraId="0F6A7FF8" w14:textId="02CA2D67" w:rsidR="00965424" w:rsidRPr="00EB5A40" w:rsidRDefault="00965424" w:rsidP="00965424">
      <w:pPr>
        <w:widowControl w:val="0"/>
        <w:spacing w:after="120"/>
        <w:rPr>
          <w:b/>
          <w:u w:val="single"/>
        </w:rPr>
      </w:pPr>
      <w:r w:rsidRPr="00EB5A40">
        <w:rPr>
          <w:b/>
          <w:u w:val="single"/>
        </w:rPr>
        <w:t xml:space="preserve">POLICIES AND </w:t>
      </w:r>
      <w:r w:rsidR="007501AC">
        <w:rPr>
          <w:b/>
          <w:u w:val="single"/>
        </w:rPr>
        <w:t>PROCEDURES</w:t>
      </w:r>
    </w:p>
    <w:p w14:paraId="280D2FAE" w14:textId="018A892E" w:rsidR="00556792" w:rsidRDefault="000B4A21" w:rsidP="00556792">
      <w:pPr>
        <w:widowControl w:val="0"/>
        <w:spacing w:after="120"/>
      </w:pPr>
      <w:r>
        <w:tab/>
      </w:r>
      <w:r w:rsidR="007501AC">
        <w:t>D</w:t>
      </w:r>
      <w:r w:rsidR="00965424">
        <w:t xml:space="preserve">emographic </w:t>
      </w:r>
      <w:r w:rsidR="007501AC">
        <w:t xml:space="preserve">information is very relevant to municipal decision-making.  </w:t>
      </w:r>
      <w:r w:rsidR="00965424">
        <w:t xml:space="preserve">The Town </w:t>
      </w:r>
      <w:r w:rsidR="007501AC">
        <w:t>should</w:t>
      </w:r>
      <w:r w:rsidR="00965424">
        <w:t xml:space="preserve"> </w:t>
      </w:r>
      <w:r w:rsidR="00162E2A">
        <w:t>periodically</w:t>
      </w:r>
      <w:r w:rsidR="00965424">
        <w:t xml:space="preserve"> review and assess demographic growth indicators.</w:t>
      </w:r>
      <w:r w:rsidR="00162E2A">
        <w:t xml:space="preserve">  Due to the slow </w:t>
      </w:r>
      <w:r w:rsidR="007501AC">
        <w:t xml:space="preserve">change </w:t>
      </w:r>
      <w:r w:rsidR="00162E2A">
        <w:t xml:space="preserve">pace and limited access to reliable government data, reviewing every five </w:t>
      </w:r>
      <w:r w:rsidR="00AD72AE">
        <w:t xml:space="preserve">to ten </w:t>
      </w:r>
      <w:r w:rsidR="00162E2A">
        <w:t>years is probably adequate.</w:t>
      </w:r>
      <w:r w:rsidR="007501AC">
        <w:t xml:space="preserve"> </w:t>
      </w:r>
    </w:p>
    <w:p w14:paraId="498CE687" w14:textId="39D77950" w:rsidR="00965424" w:rsidRDefault="005E27A6" w:rsidP="00965424">
      <w:pPr>
        <w:widowControl w:val="0"/>
        <w:spacing w:after="120"/>
      </w:pPr>
      <w:r>
        <w:tab/>
        <w:t xml:space="preserve">During such reviews (by officials, staff or contractors), the minimum analyses recommended is as follows: </w:t>
      </w:r>
    </w:p>
    <w:p w14:paraId="3D74AA86" w14:textId="24E59267" w:rsidR="00965424" w:rsidRDefault="00556792" w:rsidP="00965424">
      <w:pPr>
        <w:widowControl w:val="0"/>
        <w:spacing w:after="120"/>
      </w:pPr>
      <w:r>
        <w:tab/>
        <w:t xml:space="preserve">(1)  </w:t>
      </w:r>
      <w:r w:rsidR="00965424">
        <w:t>Is the rate of population change expected to continue as in the past, slow down or speed up? What are the implications of this change?</w:t>
      </w:r>
    </w:p>
    <w:p w14:paraId="13557B2B" w14:textId="2F707996" w:rsidR="00965424" w:rsidRDefault="00556792" w:rsidP="00965424">
      <w:pPr>
        <w:widowControl w:val="0"/>
        <w:spacing w:after="120"/>
      </w:pPr>
      <w:r>
        <w:tab/>
        <w:t xml:space="preserve">(2)  </w:t>
      </w:r>
      <w:r w:rsidR="00965424">
        <w:t>What will be the likely demand for housing, municipal and school services to accommodate the change in population and demographics, both as a result of overall change and or as a result of change among different age groups?</w:t>
      </w:r>
    </w:p>
    <w:p w14:paraId="5B6C06D8" w14:textId="3DC8060A" w:rsidR="00965424" w:rsidRDefault="00556792" w:rsidP="00965424">
      <w:pPr>
        <w:widowControl w:val="0"/>
        <w:spacing w:after="120"/>
      </w:pPr>
      <w:r>
        <w:t xml:space="preserve"> </w:t>
      </w:r>
      <w:r>
        <w:tab/>
        <w:t xml:space="preserve">(3)  </w:t>
      </w:r>
      <w:r w:rsidR="00965424">
        <w:t>Does your community have a significant seasonal population, is the nature of that population changing? What is the community's dependence on seasonal visitors?</w:t>
      </w:r>
    </w:p>
    <w:p w14:paraId="323D2012" w14:textId="0BF400EE" w:rsidR="00965424" w:rsidRDefault="00556792" w:rsidP="00965424">
      <w:pPr>
        <w:widowControl w:val="0"/>
        <w:spacing w:after="120"/>
      </w:pPr>
      <w:r>
        <w:tab/>
        <w:t xml:space="preserve">(4)  </w:t>
      </w:r>
      <w:r w:rsidR="00965424">
        <w:t>If your community is a service center or has a major employer, are additional efforts required to serve a daytime population that is larger than its resident population?</w:t>
      </w:r>
    </w:p>
    <w:p w14:paraId="1377BF88" w14:textId="77777777" w:rsidR="00556792" w:rsidRDefault="00556792" w:rsidP="00556792">
      <w:pPr>
        <w:widowControl w:val="0"/>
        <w:spacing w:after="120"/>
      </w:pPr>
      <w:r>
        <w:tab/>
        <w:t xml:space="preserve">Town office staff should maintain localized demographic data in a binder and digitally according to the town’s information management plan.  The raw data is readily available from government sources to the general public.  Any specific data analysis developed by town officials, staff, or contractors is subject to Freedom of Information Act and as such, should be in a state easily provided to the public.  The most likely event driving population impact is the planned extension of interstate highway 395 to Route 9 and the likely decreasing of transit time to the Bangor/Brewer area and Bangor International Airport.  This project </w:t>
      </w:r>
      <w:r w:rsidRPr="003139C7">
        <w:rPr>
          <w:i/>
        </w:rPr>
        <w:t>may</w:t>
      </w:r>
      <w:r>
        <w:t xml:space="preserve"> increase some growth in Clifton </w:t>
      </w:r>
      <w:r w:rsidRPr="003139C7">
        <w:rPr>
          <w:i/>
        </w:rPr>
        <w:t>over the next decade</w:t>
      </w:r>
      <w:r>
        <w:t>.</w:t>
      </w:r>
    </w:p>
    <w:p w14:paraId="559026DC" w14:textId="4BC8F3A9" w:rsidR="0024153C" w:rsidRPr="007E2A80" w:rsidRDefault="0024153C" w:rsidP="005C2AE0">
      <w:pPr>
        <w:widowControl w:val="0"/>
        <w:spacing w:after="120"/>
      </w:pPr>
    </w:p>
    <w:sectPr w:rsidR="0024153C" w:rsidRPr="007E2A80" w:rsidSect="00024B44">
      <w:headerReference w:type="default" r:id="rId14"/>
      <w:footerReference w:type="default" r:id="rI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6C1BB" w14:textId="77777777" w:rsidR="00854750" w:rsidRDefault="00854750" w:rsidP="00081E95">
      <w:r>
        <w:separator/>
      </w:r>
    </w:p>
  </w:endnote>
  <w:endnote w:type="continuationSeparator" w:id="0">
    <w:p w14:paraId="15DA83CD" w14:textId="77777777" w:rsidR="00854750" w:rsidRDefault="00854750" w:rsidP="0008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4634E" w14:textId="77777777" w:rsidR="005E27A6" w:rsidRDefault="005E27A6" w:rsidP="00423D23">
    <w:pPr>
      <w:pStyle w:val="Normal1"/>
      <w:pBdr>
        <w:top w:val="single" w:sz="4" w:space="1" w:color="000000"/>
        <w:left w:val="nil"/>
        <w:bottom w:val="nil"/>
        <w:right w:val="nil"/>
        <w:between w:val="nil"/>
      </w:pBdr>
      <w:tabs>
        <w:tab w:val="center" w:pos="4320"/>
        <w:tab w:val="right" w:pos="8640"/>
      </w:tabs>
      <w:jc w:val="center"/>
      <w:rPr>
        <w:color w:val="000000"/>
      </w:rPr>
    </w:pPr>
    <w:r w:rsidRPr="007C583C">
      <w:rPr>
        <w:color w:val="000000"/>
      </w:rPr>
      <w:t>Town of Clifton</w:t>
    </w:r>
    <w:r>
      <w:rPr>
        <w:color w:val="000000"/>
      </w:rPr>
      <w:t xml:space="preserve"> - </w:t>
    </w:r>
    <w:r w:rsidRPr="007C583C">
      <w:rPr>
        <w:color w:val="000000"/>
      </w:rPr>
      <w:t>Comprehensive Plan</w:t>
    </w:r>
  </w:p>
  <w:p w14:paraId="52B27B41" w14:textId="7738731B" w:rsidR="005E27A6" w:rsidRPr="00423D23" w:rsidRDefault="005E27A6" w:rsidP="00423D23">
    <w:pPr>
      <w:pStyle w:val="Normal1"/>
      <w:pBdr>
        <w:top w:val="nil"/>
        <w:left w:val="nil"/>
        <w:bottom w:val="nil"/>
        <w:right w:val="nil"/>
        <w:between w:val="nil"/>
      </w:pBdr>
      <w:tabs>
        <w:tab w:val="center" w:pos="4320"/>
        <w:tab w:val="right" w:pos="8640"/>
      </w:tabs>
      <w:jc w:val="right"/>
      <w:rPr>
        <w:color w:val="000000"/>
      </w:rPr>
    </w:pPr>
    <w:r w:rsidRPr="0037236A">
      <w:rPr>
        <w:color w:val="000000"/>
      </w:rPr>
      <w:t xml:space="preserve">Page </w:t>
    </w:r>
    <w:r w:rsidRPr="0037236A">
      <w:rPr>
        <w:color w:val="000000"/>
      </w:rPr>
      <w:fldChar w:fldCharType="begin"/>
    </w:r>
    <w:r w:rsidRPr="0037236A">
      <w:rPr>
        <w:color w:val="000000"/>
      </w:rPr>
      <w:instrText>PAGE</w:instrText>
    </w:r>
    <w:r w:rsidRPr="0037236A">
      <w:rPr>
        <w:color w:val="000000"/>
      </w:rPr>
      <w:fldChar w:fldCharType="separate"/>
    </w:r>
    <w:r w:rsidR="0087547E">
      <w:rPr>
        <w:noProof/>
        <w:color w:val="000000"/>
      </w:rPr>
      <w:t>1</w:t>
    </w:r>
    <w:r w:rsidRPr="0037236A">
      <w:rPr>
        <w:color w:val="000000"/>
      </w:rPr>
      <w:fldChar w:fldCharType="end"/>
    </w:r>
    <w:r w:rsidRPr="0037236A">
      <w:rPr>
        <w:color w:val="000000"/>
      </w:rPr>
      <w:t xml:space="preserve"> </w:t>
    </w:r>
    <w:r>
      <w:rPr>
        <w:color w:val="000000"/>
      </w:rPr>
      <w:t>of</w:t>
    </w:r>
    <w:r w:rsidRPr="0037236A">
      <w:rPr>
        <w:color w:val="000000"/>
      </w:rPr>
      <w:t xml:space="preserve"> </w:t>
    </w:r>
    <w:r>
      <w:rPr>
        <w:color w:val="000000"/>
      </w:rPr>
      <w:fldChar w:fldCharType="begin"/>
    </w:r>
    <w:r>
      <w:rPr>
        <w:color w:val="000000"/>
      </w:rPr>
      <w:instrText xml:space="preserve"> NUMPAGES  \* MERGEFORMAT </w:instrText>
    </w:r>
    <w:r>
      <w:rPr>
        <w:color w:val="000000"/>
      </w:rPr>
      <w:fldChar w:fldCharType="separate"/>
    </w:r>
    <w:r w:rsidR="0087547E">
      <w:rPr>
        <w:noProof/>
        <w:color w:val="000000"/>
      </w:rPr>
      <w:t>3</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E1691" w14:textId="77777777" w:rsidR="00854750" w:rsidRDefault="00854750" w:rsidP="00081E95">
      <w:r>
        <w:separator/>
      </w:r>
    </w:p>
  </w:footnote>
  <w:footnote w:type="continuationSeparator" w:id="0">
    <w:p w14:paraId="0050C397" w14:textId="77777777" w:rsidR="00854750" w:rsidRDefault="00854750" w:rsidP="00081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3736" w14:textId="77777777" w:rsidR="005E27A6" w:rsidRDefault="005E27A6" w:rsidP="00081E95">
    <w:pPr>
      <w:widowControl w:val="0"/>
      <w:pBdr>
        <w:top w:val="nil"/>
        <w:left w:val="nil"/>
        <w:bottom w:val="nil"/>
        <w:right w:val="nil"/>
        <w:between w:val="nil"/>
      </w:pBdr>
      <w:spacing w:line="14" w:lineRule="auto"/>
      <w:rPr>
        <w:color w:val="000000"/>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E27A6" w14:paraId="5D189B89" w14:textId="77777777" w:rsidTr="00081E95">
      <w:tc>
        <w:tcPr>
          <w:tcW w:w="9576" w:type="dxa"/>
        </w:tcPr>
        <w:p w14:paraId="42ACF213" w14:textId="3F51EB0D" w:rsidR="005E27A6" w:rsidRDefault="005E27A6" w:rsidP="00081E95">
          <w:pPr>
            <w:pStyle w:val="Normal1"/>
            <w:tabs>
              <w:tab w:val="right" w:pos="9000"/>
            </w:tabs>
            <w:rPr>
              <w:b/>
            </w:rPr>
          </w:pPr>
          <w:r w:rsidRPr="00257AFC">
            <w:rPr>
              <w:b/>
            </w:rPr>
            <w:t xml:space="preserve">Chapter </w:t>
          </w:r>
          <w:r>
            <w:rPr>
              <w:b/>
            </w:rPr>
            <w:t>4</w:t>
          </w:r>
        </w:p>
        <w:p w14:paraId="7FCFAC79" w14:textId="67833F3A" w:rsidR="005E27A6" w:rsidRDefault="005E27A6" w:rsidP="005C2AE0">
          <w:pPr>
            <w:pStyle w:val="Normal1"/>
            <w:tabs>
              <w:tab w:val="right" w:pos="9000"/>
            </w:tabs>
            <w:rPr>
              <w:b/>
            </w:rPr>
          </w:pPr>
          <w:r>
            <w:rPr>
              <w:b/>
              <w:color w:val="000000"/>
            </w:rPr>
            <w:t xml:space="preserve">                                                                                                                    Population and Demographics</w:t>
          </w:r>
        </w:p>
      </w:tc>
    </w:tr>
  </w:tbl>
  <w:p w14:paraId="1413C119" w14:textId="77777777" w:rsidR="005E27A6" w:rsidRDefault="005E2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FE9F6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3F2F2BF8"/>
    <w:multiLevelType w:val="multilevel"/>
    <w:tmpl w:val="E6A83834"/>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2">
    <w:nsid w:val="52C648B3"/>
    <w:multiLevelType w:val="multilevel"/>
    <w:tmpl w:val="59B4A092"/>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3">
    <w:nsid w:val="592519EA"/>
    <w:multiLevelType w:val="multilevel"/>
    <w:tmpl w:val="B1A8E90A"/>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4">
    <w:nsid w:val="67E86A23"/>
    <w:multiLevelType w:val="multilevel"/>
    <w:tmpl w:val="0772EA8E"/>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5">
    <w:nsid w:val="694D0FD2"/>
    <w:multiLevelType w:val="multilevel"/>
    <w:tmpl w:val="283E4E52"/>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6">
    <w:nsid w:val="78B20B71"/>
    <w:multiLevelType w:val="multilevel"/>
    <w:tmpl w:val="39DE50AE"/>
    <w:lvl w:ilvl="0">
      <w:start w:val="1"/>
      <w:numFmt w:val="upperLetter"/>
      <w:lvlText w:val="%1."/>
      <w:lvlJc w:val="left"/>
      <w:pPr>
        <w:ind w:left="140" w:hanging="294"/>
      </w:pPr>
      <w:rPr>
        <w:rFonts w:ascii="Times New Roman" w:eastAsia="Times New Roman" w:hAnsi="Times New Roman" w:cs="Times New Roman"/>
        <w:sz w:val="24"/>
        <w:szCs w:val="24"/>
      </w:rPr>
    </w:lvl>
    <w:lvl w:ilvl="1">
      <w:start w:val="1"/>
      <w:numFmt w:val="bullet"/>
      <w:lvlText w:val="•"/>
      <w:lvlJc w:val="left"/>
      <w:pPr>
        <w:ind w:left="1054" w:hanging="294"/>
      </w:pPr>
    </w:lvl>
    <w:lvl w:ilvl="2">
      <w:start w:val="1"/>
      <w:numFmt w:val="bullet"/>
      <w:lvlText w:val="•"/>
      <w:lvlJc w:val="left"/>
      <w:pPr>
        <w:ind w:left="1968" w:hanging="294"/>
      </w:pPr>
    </w:lvl>
    <w:lvl w:ilvl="3">
      <w:start w:val="1"/>
      <w:numFmt w:val="bullet"/>
      <w:lvlText w:val="•"/>
      <w:lvlJc w:val="left"/>
      <w:pPr>
        <w:ind w:left="2882" w:hanging="294"/>
      </w:pPr>
    </w:lvl>
    <w:lvl w:ilvl="4">
      <w:start w:val="1"/>
      <w:numFmt w:val="bullet"/>
      <w:lvlText w:val="•"/>
      <w:lvlJc w:val="left"/>
      <w:pPr>
        <w:ind w:left="3796" w:hanging="293"/>
      </w:pPr>
    </w:lvl>
    <w:lvl w:ilvl="5">
      <w:start w:val="1"/>
      <w:numFmt w:val="bullet"/>
      <w:lvlText w:val="•"/>
      <w:lvlJc w:val="left"/>
      <w:pPr>
        <w:ind w:left="4710" w:hanging="294"/>
      </w:pPr>
    </w:lvl>
    <w:lvl w:ilvl="6">
      <w:start w:val="1"/>
      <w:numFmt w:val="bullet"/>
      <w:lvlText w:val="•"/>
      <w:lvlJc w:val="left"/>
      <w:pPr>
        <w:ind w:left="5624" w:hanging="294"/>
      </w:pPr>
    </w:lvl>
    <w:lvl w:ilvl="7">
      <w:start w:val="1"/>
      <w:numFmt w:val="bullet"/>
      <w:lvlText w:val="•"/>
      <w:lvlJc w:val="left"/>
      <w:pPr>
        <w:ind w:left="6538" w:hanging="294"/>
      </w:pPr>
    </w:lvl>
    <w:lvl w:ilvl="8">
      <w:start w:val="1"/>
      <w:numFmt w:val="bullet"/>
      <w:lvlText w:val="•"/>
      <w:lvlJc w:val="left"/>
      <w:pPr>
        <w:ind w:left="7452" w:hanging="293"/>
      </w:p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95"/>
    <w:rsid w:val="0002006C"/>
    <w:rsid w:val="00024B44"/>
    <w:rsid w:val="000318B1"/>
    <w:rsid w:val="00034FFC"/>
    <w:rsid w:val="00047574"/>
    <w:rsid w:val="00067F5B"/>
    <w:rsid w:val="00074F6E"/>
    <w:rsid w:val="00081E95"/>
    <w:rsid w:val="000820C7"/>
    <w:rsid w:val="000900C2"/>
    <w:rsid w:val="000A04F9"/>
    <w:rsid w:val="000A3950"/>
    <w:rsid w:val="000B4A21"/>
    <w:rsid w:val="000B5B6D"/>
    <w:rsid w:val="000D39E7"/>
    <w:rsid w:val="000D527F"/>
    <w:rsid w:val="000F3F4B"/>
    <w:rsid w:val="00110F1B"/>
    <w:rsid w:val="001113BD"/>
    <w:rsid w:val="00136EFA"/>
    <w:rsid w:val="001502D1"/>
    <w:rsid w:val="00150789"/>
    <w:rsid w:val="0016039B"/>
    <w:rsid w:val="00161489"/>
    <w:rsid w:val="00162E2A"/>
    <w:rsid w:val="001642C3"/>
    <w:rsid w:val="001669DB"/>
    <w:rsid w:val="00166B21"/>
    <w:rsid w:val="00171CC1"/>
    <w:rsid w:val="00187E5F"/>
    <w:rsid w:val="00196C87"/>
    <w:rsid w:val="00197C08"/>
    <w:rsid w:val="001A6445"/>
    <w:rsid w:val="001A6975"/>
    <w:rsid w:val="001C0E4D"/>
    <w:rsid w:val="001C5851"/>
    <w:rsid w:val="001D2D62"/>
    <w:rsid w:val="001D5457"/>
    <w:rsid w:val="00200F89"/>
    <w:rsid w:val="00215AE0"/>
    <w:rsid w:val="00220EDE"/>
    <w:rsid w:val="00223A00"/>
    <w:rsid w:val="00231936"/>
    <w:rsid w:val="00234F68"/>
    <w:rsid w:val="0024153C"/>
    <w:rsid w:val="002420CA"/>
    <w:rsid w:val="002451BC"/>
    <w:rsid w:val="00246448"/>
    <w:rsid w:val="00246B30"/>
    <w:rsid w:val="0025421F"/>
    <w:rsid w:val="0025518D"/>
    <w:rsid w:val="00263B04"/>
    <w:rsid w:val="002714B9"/>
    <w:rsid w:val="002954C2"/>
    <w:rsid w:val="002A3078"/>
    <w:rsid w:val="002B0EDE"/>
    <w:rsid w:val="002B287E"/>
    <w:rsid w:val="002B5C97"/>
    <w:rsid w:val="002C4643"/>
    <w:rsid w:val="002C602D"/>
    <w:rsid w:val="002C66AB"/>
    <w:rsid w:val="002E0A95"/>
    <w:rsid w:val="002F1416"/>
    <w:rsid w:val="00314003"/>
    <w:rsid w:val="00321BC4"/>
    <w:rsid w:val="00346F3B"/>
    <w:rsid w:val="0035289B"/>
    <w:rsid w:val="00376375"/>
    <w:rsid w:val="003822FE"/>
    <w:rsid w:val="00391D4E"/>
    <w:rsid w:val="00392276"/>
    <w:rsid w:val="003966DA"/>
    <w:rsid w:val="003A3CC8"/>
    <w:rsid w:val="003F2953"/>
    <w:rsid w:val="00401116"/>
    <w:rsid w:val="00410DB9"/>
    <w:rsid w:val="004110D0"/>
    <w:rsid w:val="004214BB"/>
    <w:rsid w:val="00421574"/>
    <w:rsid w:val="004230A9"/>
    <w:rsid w:val="00423D23"/>
    <w:rsid w:val="004245BE"/>
    <w:rsid w:val="0043511B"/>
    <w:rsid w:val="00436348"/>
    <w:rsid w:val="0044468D"/>
    <w:rsid w:val="00456DD9"/>
    <w:rsid w:val="00462BDD"/>
    <w:rsid w:val="00467CB7"/>
    <w:rsid w:val="00467F5D"/>
    <w:rsid w:val="0047235C"/>
    <w:rsid w:val="0048352D"/>
    <w:rsid w:val="00495F8E"/>
    <w:rsid w:val="004A63AE"/>
    <w:rsid w:val="004C3A2F"/>
    <w:rsid w:val="004C3C0D"/>
    <w:rsid w:val="004C42C6"/>
    <w:rsid w:val="004D3F77"/>
    <w:rsid w:val="004D72B1"/>
    <w:rsid w:val="004E2350"/>
    <w:rsid w:val="004F533B"/>
    <w:rsid w:val="004F6857"/>
    <w:rsid w:val="004F75DC"/>
    <w:rsid w:val="0050138F"/>
    <w:rsid w:val="00501F3E"/>
    <w:rsid w:val="005134DA"/>
    <w:rsid w:val="00516D52"/>
    <w:rsid w:val="00522662"/>
    <w:rsid w:val="005320CD"/>
    <w:rsid w:val="00542D2F"/>
    <w:rsid w:val="0054305B"/>
    <w:rsid w:val="0054649C"/>
    <w:rsid w:val="00547006"/>
    <w:rsid w:val="00547C81"/>
    <w:rsid w:val="00554702"/>
    <w:rsid w:val="00556792"/>
    <w:rsid w:val="005606CE"/>
    <w:rsid w:val="00562B81"/>
    <w:rsid w:val="00570D18"/>
    <w:rsid w:val="005803D0"/>
    <w:rsid w:val="005812B3"/>
    <w:rsid w:val="00585FF4"/>
    <w:rsid w:val="00591D52"/>
    <w:rsid w:val="005C193A"/>
    <w:rsid w:val="005C2AE0"/>
    <w:rsid w:val="005E0EB3"/>
    <w:rsid w:val="005E27A6"/>
    <w:rsid w:val="00600FFE"/>
    <w:rsid w:val="006100CA"/>
    <w:rsid w:val="006145AF"/>
    <w:rsid w:val="00615035"/>
    <w:rsid w:val="006200C8"/>
    <w:rsid w:val="006201DD"/>
    <w:rsid w:val="006232A7"/>
    <w:rsid w:val="00633CD0"/>
    <w:rsid w:val="0063738C"/>
    <w:rsid w:val="00640B02"/>
    <w:rsid w:val="0064693D"/>
    <w:rsid w:val="00652D7C"/>
    <w:rsid w:val="0065370E"/>
    <w:rsid w:val="00672219"/>
    <w:rsid w:val="006800F2"/>
    <w:rsid w:val="0069325E"/>
    <w:rsid w:val="00694161"/>
    <w:rsid w:val="006942FE"/>
    <w:rsid w:val="006B0924"/>
    <w:rsid w:val="006B615B"/>
    <w:rsid w:val="006B7378"/>
    <w:rsid w:val="006C079F"/>
    <w:rsid w:val="006D1EF1"/>
    <w:rsid w:val="006E5F9D"/>
    <w:rsid w:val="006F0CB4"/>
    <w:rsid w:val="006F3DAA"/>
    <w:rsid w:val="006F6B8E"/>
    <w:rsid w:val="0072096C"/>
    <w:rsid w:val="00721BA0"/>
    <w:rsid w:val="00725650"/>
    <w:rsid w:val="007351BB"/>
    <w:rsid w:val="0073528E"/>
    <w:rsid w:val="00735336"/>
    <w:rsid w:val="00735633"/>
    <w:rsid w:val="007501AC"/>
    <w:rsid w:val="00754D2E"/>
    <w:rsid w:val="00761B87"/>
    <w:rsid w:val="00766E05"/>
    <w:rsid w:val="00784933"/>
    <w:rsid w:val="00793D3E"/>
    <w:rsid w:val="007A318B"/>
    <w:rsid w:val="007B635F"/>
    <w:rsid w:val="007C082A"/>
    <w:rsid w:val="007D6787"/>
    <w:rsid w:val="007E2A80"/>
    <w:rsid w:val="007F0CDF"/>
    <w:rsid w:val="007F3CA3"/>
    <w:rsid w:val="00801D23"/>
    <w:rsid w:val="00807C5D"/>
    <w:rsid w:val="008174CD"/>
    <w:rsid w:val="008512AB"/>
    <w:rsid w:val="0085308C"/>
    <w:rsid w:val="00854750"/>
    <w:rsid w:val="00863EF5"/>
    <w:rsid w:val="0087547E"/>
    <w:rsid w:val="008756B7"/>
    <w:rsid w:val="00875CEB"/>
    <w:rsid w:val="00875F65"/>
    <w:rsid w:val="008845C2"/>
    <w:rsid w:val="00890AFC"/>
    <w:rsid w:val="008B18BA"/>
    <w:rsid w:val="008B605F"/>
    <w:rsid w:val="008C407B"/>
    <w:rsid w:val="008E01F5"/>
    <w:rsid w:val="008E08EE"/>
    <w:rsid w:val="008E24AC"/>
    <w:rsid w:val="008E64DD"/>
    <w:rsid w:val="009051BB"/>
    <w:rsid w:val="00912C63"/>
    <w:rsid w:val="009244BE"/>
    <w:rsid w:val="00924B2C"/>
    <w:rsid w:val="0093360B"/>
    <w:rsid w:val="0094590F"/>
    <w:rsid w:val="009500BF"/>
    <w:rsid w:val="00954E6B"/>
    <w:rsid w:val="00963A75"/>
    <w:rsid w:val="00965424"/>
    <w:rsid w:val="00971CCB"/>
    <w:rsid w:val="009775D0"/>
    <w:rsid w:val="00995761"/>
    <w:rsid w:val="009A0B4A"/>
    <w:rsid w:val="009A56BF"/>
    <w:rsid w:val="009A6351"/>
    <w:rsid w:val="009B2FC5"/>
    <w:rsid w:val="009D02AE"/>
    <w:rsid w:val="009D03CF"/>
    <w:rsid w:val="009E11A6"/>
    <w:rsid w:val="009F191B"/>
    <w:rsid w:val="009F2F1D"/>
    <w:rsid w:val="00A03596"/>
    <w:rsid w:val="00A07392"/>
    <w:rsid w:val="00A1045D"/>
    <w:rsid w:val="00A16368"/>
    <w:rsid w:val="00A23C9E"/>
    <w:rsid w:val="00A52018"/>
    <w:rsid w:val="00A5482B"/>
    <w:rsid w:val="00A822E6"/>
    <w:rsid w:val="00A9386E"/>
    <w:rsid w:val="00A97C02"/>
    <w:rsid w:val="00AA3316"/>
    <w:rsid w:val="00AA67A4"/>
    <w:rsid w:val="00AA7779"/>
    <w:rsid w:val="00AB4CE4"/>
    <w:rsid w:val="00AC66C8"/>
    <w:rsid w:val="00AC6C7D"/>
    <w:rsid w:val="00AD72AE"/>
    <w:rsid w:val="00AE2127"/>
    <w:rsid w:val="00AE3640"/>
    <w:rsid w:val="00AE681C"/>
    <w:rsid w:val="00AF0DBF"/>
    <w:rsid w:val="00AF2685"/>
    <w:rsid w:val="00AF754E"/>
    <w:rsid w:val="00B0324C"/>
    <w:rsid w:val="00B13E93"/>
    <w:rsid w:val="00B1417E"/>
    <w:rsid w:val="00B15753"/>
    <w:rsid w:val="00B23608"/>
    <w:rsid w:val="00B279AF"/>
    <w:rsid w:val="00B31287"/>
    <w:rsid w:val="00B40500"/>
    <w:rsid w:val="00B61670"/>
    <w:rsid w:val="00B72680"/>
    <w:rsid w:val="00B738DC"/>
    <w:rsid w:val="00B846E3"/>
    <w:rsid w:val="00B93758"/>
    <w:rsid w:val="00B95E89"/>
    <w:rsid w:val="00B9720F"/>
    <w:rsid w:val="00BA0F81"/>
    <w:rsid w:val="00BA684D"/>
    <w:rsid w:val="00BE167B"/>
    <w:rsid w:val="00C0358A"/>
    <w:rsid w:val="00C10431"/>
    <w:rsid w:val="00C10767"/>
    <w:rsid w:val="00C114D4"/>
    <w:rsid w:val="00C20FC8"/>
    <w:rsid w:val="00C239F4"/>
    <w:rsid w:val="00C32A04"/>
    <w:rsid w:val="00C331C4"/>
    <w:rsid w:val="00C53318"/>
    <w:rsid w:val="00C536FB"/>
    <w:rsid w:val="00C64135"/>
    <w:rsid w:val="00C70C55"/>
    <w:rsid w:val="00C92D41"/>
    <w:rsid w:val="00CB6F38"/>
    <w:rsid w:val="00CC685F"/>
    <w:rsid w:val="00CD4EEA"/>
    <w:rsid w:val="00CD71D1"/>
    <w:rsid w:val="00CD77B0"/>
    <w:rsid w:val="00CE5B9F"/>
    <w:rsid w:val="00CF5B4C"/>
    <w:rsid w:val="00D002E8"/>
    <w:rsid w:val="00D137DA"/>
    <w:rsid w:val="00D34F8B"/>
    <w:rsid w:val="00D45146"/>
    <w:rsid w:val="00D4651F"/>
    <w:rsid w:val="00D50389"/>
    <w:rsid w:val="00D50E1B"/>
    <w:rsid w:val="00D7014E"/>
    <w:rsid w:val="00D8706C"/>
    <w:rsid w:val="00D87B3B"/>
    <w:rsid w:val="00D90E34"/>
    <w:rsid w:val="00D93C3B"/>
    <w:rsid w:val="00DA5706"/>
    <w:rsid w:val="00DC3C89"/>
    <w:rsid w:val="00DE1E16"/>
    <w:rsid w:val="00DE4A78"/>
    <w:rsid w:val="00DE5E30"/>
    <w:rsid w:val="00DF4DC8"/>
    <w:rsid w:val="00E04D69"/>
    <w:rsid w:val="00E22206"/>
    <w:rsid w:val="00E239BE"/>
    <w:rsid w:val="00E25F67"/>
    <w:rsid w:val="00E3702F"/>
    <w:rsid w:val="00E406DE"/>
    <w:rsid w:val="00E5157E"/>
    <w:rsid w:val="00E518C0"/>
    <w:rsid w:val="00E6210B"/>
    <w:rsid w:val="00E65FA6"/>
    <w:rsid w:val="00E67BD3"/>
    <w:rsid w:val="00E71569"/>
    <w:rsid w:val="00E80772"/>
    <w:rsid w:val="00EA048E"/>
    <w:rsid w:val="00EB2FBA"/>
    <w:rsid w:val="00EB5A40"/>
    <w:rsid w:val="00EC12EC"/>
    <w:rsid w:val="00EC3327"/>
    <w:rsid w:val="00ED6751"/>
    <w:rsid w:val="00EE48A3"/>
    <w:rsid w:val="00EE4B2B"/>
    <w:rsid w:val="00EF3FB7"/>
    <w:rsid w:val="00EF524B"/>
    <w:rsid w:val="00F00049"/>
    <w:rsid w:val="00F0378E"/>
    <w:rsid w:val="00F065A5"/>
    <w:rsid w:val="00F077B4"/>
    <w:rsid w:val="00F13CC4"/>
    <w:rsid w:val="00F31029"/>
    <w:rsid w:val="00F31E40"/>
    <w:rsid w:val="00F43CE4"/>
    <w:rsid w:val="00F52D31"/>
    <w:rsid w:val="00F63BDC"/>
    <w:rsid w:val="00F651A0"/>
    <w:rsid w:val="00F71812"/>
    <w:rsid w:val="00F93072"/>
    <w:rsid w:val="00FA5E49"/>
    <w:rsid w:val="00FB0B7E"/>
    <w:rsid w:val="00FB6BF3"/>
    <w:rsid w:val="00FD23E1"/>
    <w:rsid w:val="00FD571C"/>
    <w:rsid w:val="00FE341A"/>
    <w:rsid w:val="00FF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66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67"/>
    <w:rPr>
      <w:rFonts w:asciiTheme="majorHAnsi" w:eastAsia="Times New Roman" w:hAnsiTheme="majorHAnsi" w:cs="Times New Roman"/>
    </w:rPr>
  </w:style>
  <w:style w:type="paragraph" w:styleId="Heading1">
    <w:name w:val="heading 1"/>
    <w:basedOn w:val="Normal"/>
    <w:next w:val="Normal"/>
    <w:link w:val="Heading1Char"/>
    <w:uiPriority w:val="9"/>
    <w:qFormat/>
    <w:rsid w:val="007E2A80"/>
    <w:pPr>
      <w:widowControl w:val="0"/>
      <w:ind w:left="140"/>
      <w:outlineLvl w:val="0"/>
    </w:pPr>
    <w:rPr>
      <w:b/>
      <w:u w:val="single"/>
    </w:rPr>
  </w:style>
  <w:style w:type="paragraph" w:styleId="Heading2">
    <w:name w:val="heading 2"/>
    <w:basedOn w:val="Normal"/>
    <w:next w:val="Normal"/>
    <w:link w:val="Heading2Char"/>
    <w:uiPriority w:val="9"/>
    <w:semiHidden/>
    <w:unhideWhenUsed/>
    <w:qFormat/>
    <w:rsid w:val="007E2A80"/>
    <w:pPr>
      <w:widowControl w:val="0"/>
      <w:ind w:left="140"/>
      <w:outlineLvl w:val="1"/>
    </w:pPr>
    <w:rPr>
      <w:b/>
      <w:i/>
    </w:rPr>
  </w:style>
  <w:style w:type="paragraph" w:styleId="Heading3">
    <w:name w:val="heading 3"/>
    <w:basedOn w:val="Normal"/>
    <w:next w:val="Normal"/>
    <w:link w:val="Heading3Char"/>
    <w:uiPriority w:val="9"/>
    <w:semiHidden/>
    <w:unhideWhenUsed/>
    <w:qFormat/>
    <w:rsid w:val="007E2A80"/>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7E2A80"/>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7E2A80"/>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7E2A80"/>
    <w:pPr>
      <w:keepNext/>
      <w:keepLines/>
      <w:spacing w:before="200" w:after="40" w:line="259" w:lineRule="auto"/>
      <w:outlineLvl w:val="5"/>
    </w:pPr>
    <w:rPr>
      <w:rFonts w:ascii="Calibri" w:eastAsia="Calibri" w:hAnsi="Calibri" w:cs="Calibri"/>
      <w:b/>
      <w:sz w:val="20"/>
      <w:szCs w:val="20"/>
    </w:rPr>
  </w:style>
  <w:style w:type="paragraph" w:styleId="Heading7">
    <w:name w:val="heading 7"/>
    <w:basedOn w:val="Normal"/>
    <w:next w:val="Normal"/>
    <w:link w:val="Heading7Char"/>
    <w:qFormat/>
    <w:rsid w:val="00DF4DC8"/>
    <w:pPr>
      <w:keepNext/>
      <w:ind w:left="1260" w:hanging="720"/>
      <w:outlineLvl w:val="6"/>
    </w:pPr>
    <w:rPr>
      <w:rFonts w:ascii="Arial" w:hAnsi="Arial"/>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F4DC8"/>
    <w:rPr>
      <w:rFonts w:ascii="Arial" w:eastAsia="Times New Roman" w:hAnsi="Arial" w:cs="Times New Roman"/>
      <w:noProof/>
      <w:sz w:val="22"/>
    </w:rPr>
  </w:style>
  <w:style w:type="paragraph" w:customStyle="1" w:styleId="NN">
    <w:name w:val="N.N"/>
    <w:basedOn w:val="Normal"/>
    <w:qFormat/>
    <w:rsid w:val="00DF4DC8"/>
    <w:pPr>
      <w:ind w:left="720"/>
    </w:pPr>
    <w:rPr>
      <w:rFonts w:ascii="Arial" w:hAnsi="Arial"/>
      <w:sz w:val="22"/>
    </w:rPr>
  </w:style>
  <w:style w:type="paragraph" w:customStyle="1" w:styleId="NNN">
    <w:name w:val="N.N.N"/>
    <w:basedOn w:val="NN"/>
    <w:qFormat/>
    <w:rsid w:val="00DF4DC8"/>
    <w:rPr>
      <w:noProof/>
    </w:rPr>
  </w:style>
  <w:style w:type="paragraph" w:styleId="Header">
    <w:name w:val="header"/>
    <w:basedOn w:val="Normal"/>
    <w:link w:val="HeaderChar"/>
    <w:uiPriority w:val="99"/>
    <w:unhideWhenUsed/>
    <w:rsid w:val="00081E95"/>
    <w:pPr>
      <w:tabs>
        <w:tab w:val="center" w:pos="4320"/>
        <w:tab w:val="right" w:pos="8640"/>
      </w:tabs>
    </w:pPr>
  </w:style>
  <w:style w:type="character" w:customStyle="1" w:styleId="HeaderChar">
    <w:name w:val="Header Char"/>
    <w:basedOn w:val="DefaultParagraphFont"/>
    <w:link w:val="Header"/>
    <w:uiPriority w:val="99"/>
    <w:rsid w:val="00081E95"/>
  </w:style>
  <w:style w:type="paragraph" w:styleId="Footer">
    <w:name w:val="footer"/>
    <w:basedOn w:val="Normal"/>
    <w:link w:val="FooterChar"/>
    <w:uiPriority w:val="99"/>
    <w:unhideWhenUsed/>
    <w:rsid w:val="00081E95"/>
    <w:pPr>
      <w:tabs>
        <w:tab w:val="center" w:pos="4320"/>
        <w:tab w:val="right" w:pos="8640"/>
      </w:tabs>
    </w:pPr>
  </w:style>
  <w:style w:type="character" w:customStyle="1" w:styleId="FooterChar">
    <w:name w:val="Footer Char"/>
    <w:basedOn w:val="DefaultParagraphFont"/>
    <w:link w:val="Footer"/>
    <w:uiPriority w:val="99"/>
    <w:rsid w:val="00081E95"/>
  </w:style>
  <w:style w:type="paragraph" w:customStyle="1" w:styleId="Normal1">
    <w:name w:val="Normal1"/>
    <w:rsid w:val="00C10767"/>
    <w:rPr>
      <w:rFonts w:asciiTheme="majorHAnsi" w:eastAsia="Times New Roman" w:hAnsiTheme="majorHAnsi" w:cs="Times New Roman"/>
    </w:rPr>
  </w:style>
  <w:style w:type="table" w:styleId="TableGrid">
    <w:name w:val="Table Grid"/>
    <w:basedOn w:val="TableNormal"/>
    <w:uiPriority w:val="39"/>
    <w:rsid w:val="00081E9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4CD"/>
    <w:rPr>
      <w:sz w:val="18"/>
      <w:szCs w:val="18"/>
    </w:rPr>
  </w:style>
  <w:style w:type="paragraph" w:styleId="CommentText">
    <w:name w:val="annotation text"/>
    <w:basedOn w:val="Normal"/>
    <w:link w:val="CommentTextChar"/>
    <w:uiPriority w:val="99"/>
    <w:semiHidden/>
    <w:unhideWhenUsed/>
    <w:rsid w:val="008174CD"/>
  </w:style>
  <w:style w:type="character" w:customStyle="1" w:styleId="CommentTextChar">
    <w:name w:val="Comment Text Char"/>
    <w:basedOn w:val="DefaultParagraphFont"/>
    <w:link w:val="CommentText"/>
    <w:uiPriority w:val="99"/>
    <w:semiHidden/>
    <w:rsid w:val="008174C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7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CD"/>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7E2A80"/>
    <w:rPr>
      <w:rFonts w:ascii="Times New Roman" w:eastAsia="Times New Roman" w:hAnsi="Times New Roman" w:cs="Times New Roman"/>
      <w:b/>
      <w:u w:val="single"/>
    </w:rPr>
  </w:style>
  <w:style w:type="character" w:customStyle="1" w:styleId="Heading2Char">
    <w:name w:val="Heading 2 Char"/>
    <w:basedOn w:val="DefaultParagraphFont"/>
    <w:link w:val="Heading2"/>
    <w:uiPriority w:val="9"/>
    <w:semiHidden/>
    <w:rsid w:val="007E2A80"/>
    <w:rPr>
      <w:rFonts w:ascii="Times New Roman" w:eastAsia="Times New Roman" w:hAnsi="Times New Roman" w:cs="Times New Roman"/>
      <w:b/>
      <w:i/>
    </w:rPr>
  </w:style>
  <w:style w:type="character" w:customStyle="1" w:styleId="Heading3Char">
    <w:name w:val="Heading 3 Char"/>
    <w:basedOn w:val="DefaultParagraphFont"/>
    <w:link w:val="Heading3"/>
    <w:uiPriority w:val="9"/>
    <w:semiHidden/>
    <w:rsid w:val="007E2A80"/>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7E2A80"/>
    <w:rPr>
      <w:rFonts w:ascii="Calibri" w:eastAsia="Calibri" w:hAnsi="Calibri" w:cs="Calibri"/>
      <w:b/>
    </w:rPr>
  </w:style>
  <w:style w:type="character" w:customStyle="1" w:styleId="Heading5Char">
    <w:name w:val="Heading 5 Char"/>
    <w:basedOn w:val="DefaultParagraphFont"/>
    <w:link w:val="Heading5"/>
    <w:uiPriority w:val="9"/>
    <w:semiHidden/>
    <w:rsid w:val="007E2A80"/>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7E2A80"/>
    <w:rPr>
      <w:rFonts w:ascii="Calibri" w:eastAsia="Calibri" w:hAnsi="Calibri" w:cs="Calibri"/>
      <w:b/>
      <w:sz w:val="20"/>
      <w:szCs w:val="20"/>
    </w:rPr>
  </w:style>
  <w:style w:type="paragraph" w:styleId="Title">
    <w:name w:val="Title"/>
    <w:basedOn w:val="Normal"/>
    <w:next w:val="Normal"/>
    <w:link w:val="TitleChar"/>
    <w:uiPriority w:val="10"/>
    <w:qFormat/>
    <w:rsid w:val="007E2A80"/>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7E2A80"/>
    <w:rPr>
      <w:rFonts w:ascii="Calibri" w:eastAsia="Calibri" w:hAnsi="Calibri" w:cs="Calibri"/>
      <w:b/>
      <w:sz w:val="72"/>
      <w:szCs w:val="72"/>
    </w:rPr>
  </w:style>
  <w:style w:type="paragraph" w:styleId="Subtitle">
    <w:name w:val="Subtitle"/>
    <w:basedOn w:val="Normal"/>
    <w:next w:val="Normal"/>
    <w:link w:val="SubtitleChar"/>
    <w:uiPriority w:val="11"/>
    <w:qFormat/>
    <w:rsid w:val="007E2A80"/>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E2A80"/>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7E2A80"/>
    <w:pPr>
      <w:spacing w:after="160"/>
    </w:pPr>
    <w:rPr>
      <w:rFonts w:ascii="Calibri" w:eastAsia="Calibri" w:hAnsi="Calibri" w:cs="Calibri"/>
      <w:b/>
      <w:bCs/>
      <w:sz w:val="20"/>
      <w:szCs w:val="20"/>
    </w:rPr>
  </w:style>
  <w:style w:type="character" w:customStyle="1" w:styleId="CommentSubjectChar">
    <w:name w:val="Comment Subject Char"/>
    <w:basedOn w:val="CommentTextChar"/>
    <w:link w:val="CommentSubject"/>
    <w:uiPriority w:val="99"/>
    <w:semiHidden/>
    <w:rsid w:val="007E2A80"/>
    <w:rPr>
      <w:rFonts w:ascii="Calibri" w:eastAsia="Calibri" w:hAnsi="Calibri" w:cs="Calibri"/>
      <w:b/>
      <w:bCs/>
      <w:sz w:val="20"/>
      <w:szCs w:val="20"/>
    </w:rPr>
  </w:style>
  <w:style w:type="paragraph" w:styleId="ListParagraph">
    <w:name w:val="List Paragraph"/>
    <w:basedOn w:val="Normal"/>
    <w:uiPriority w:val="34"/>
    <w:qFormat/>
    <w:rsid w:val="007E2A80"/>
    <w:pPr>
      <w:spacing w:after="160" w:line="259" w:lineRule="auto"/>
      <w:ind w:left="720"/>
      <w:contextualSpacing/>
    </w:pPr>
    <w:rPr>
      <w:rFonts w:ascii="Calibri" w:eastAsia="Calibri" w:hAnsi="Calibri" w:cs="Calibri"/>
      <w:sz w:val="22"/>
      <w:szCs w:val="22"/>
    </w:rPr>
  </w:style>
  <w:style w:type="paragraph" w:styleId="Revision">
    <w:name w:val="Revision"/>
    <w:hidden/>
    <w:uiPriority w:val="99"/>
    <w:semiHidden/>
    <w:rsid w:val="004214BB"/>
    <w:rPr>
      <w:rFonts w:asciiTheme="majorHAnsi" w:eastAsia="Times New Roman" w:hAnsiTheme="majorHAnsi" w:cs="Times New Roman"/>
    </w:rPr>
  </w:style>
  <w:style w:type="paragraph" w:styleId="NormalWeb">
    <w:name w:val="Normal (Web)"/>
    <w:basedOn w:val="Normal"/>
    <w:uiPriority w:val="99"/>
    <w:semiHidden/>
    <w:unhideWhenUsed/>
    <w:rsid w:val="00AF754E"/>
    <w:pPr>
      <w:spacing w:before="100" w:beforeAutospacing="1" w:after="100" w:afterAutospacing="1"/>
    </w:pPr>
    <w:rPr>
      <w:rFonts w:ascii="Times New Roman" w:eastAsiaTheme="minorEastAsia" w:hAnsi="Times New Roman"/>
      <w:sz w:val="20"/>
      <w:szCs w:val="20"/>
    </w:rPr>
  </w:style>
  <w:style w:type="paragraph" w:customStyle="1" w:styleId="NoteLevel1">
    <w:name w:val="Note Level 1"/>
    <w:basedOn w:val="Normal"/>
    <w:uiPriority w:val="99"/>
    <w:unhideWhenUsed/>
    <w:rsid w:val="00AA67A4"/>
    <w:pPr>
      <w:keepNext/>
      <w:numPr>
        <w:numId w:val="7"/>
      </w:numPr>
      <w:contextualSpacing/>
      <w:outlineLvl w:val="0"/>
    </w:pPr>
    <w:rPr>
      <w:rFonts w:ascii="Verdana" w:hAnsi="Verdana"/>
    </w:rPr>
  </w:style>
  <w:style w:type="paragraph" w:customStyle="1" w:styleId="NoteLevel2">
    <w:name w:val="Note Level 2"/>
    <w:basedOn w:val="Normal"/>
    <w:uiPriority w:val="99"/>
    <w:semiHidden/>
    <w:unhideWhenUsed/>
    <w:rsid w:val="00AA67A4"/>
    <w:pPr>
      <w:keepNext/>
      <w:numPr>
        <w:ilvl w:val="1"/>
        <w:numId w:val="7"/>
      </w:numPr>
      <w:contextualSpacing/>
      <w:outlineLvl w:val="1"/>
    </w:pPr>
    <w:rPr>
      <w:rFonts w:ascii="Verdana" w:hAnsi="Verdana"/>
    </w:rPr>
  </w:style>
  <w:style w:type="paragraph" w:customStyle="1" w:styleId="NoteLevel3">
    <w:name w:val="Note Level 3"/>
    <w:basedOn w:val="Normal"/>
    <w:uiPriority w:val="99"/>
    <w:semiHidden/>
    <w:unhideWhenUsed/>
    <w:rsid w:val="00AA67A4"/>
    <w:pPr>
      <w:keepNext/>
      <w:numPr>
        <w:ilvl w:val="2"/>
        <w:numId w:val="7"/>
      </w:numPr>
      <w:contextualSpacing/>
      <w:outlineLvl w:val="2"/>
    </w:pPr>
    <w:rPr>
      <w:rFonts w:ascii="Verdana" w:hAnsi="Verdana"/>
    </w:rPr>
  </w:style>
  <w:style w:type="paragraph" w:customStyle="1" w:styleId="NoteLevel4">
    <w:name w:val="Note Level 4"/>
    <w:basedOn w:val="Normal"/>
    <w:uiPriority w:val="99"/>
    <w:semiHidden/>
    <w:unhideWhenUsed/>
    <w:rsid w:val="00AA67A4"/>
    <w:pPr>
      <w:keepNext/>
      <w:numPr>
        <w:ilvl w:val="3"/>
        <w:numId w:val="7"/>
      </w:numPr>
      <w:contextualSpacing/>
      <w:outlineLvl w:val="3"/>
    </w:pPr>
    <w:rPr>
      <w:rFonts w:ascii="Verdana" w:hAnsi="Verdana"/>
    </w:rPr>
  </w:style>
  <w:style w:type="paragraph" w:customStyle="1" w:styleId="NoteLevel5">
    <w:name w:val="Note Level 5"/>
    <w:basedOn w:val="Normal"/>
    <w:uiPriority w:val="99"/>
    <w:semiHidden/>
    <w:unhideWhenUsed/>
    <w:rsid w:val="00AA67A4"/>
    <w:pPr>
      <w:keepNext/>
      <w:numPr>
        <w:ilvl w:val="4"/>
        <w:numId w:val="7"/>
      </w:numPr>
      <w:contextualSpacing/>
      <w:outlineLvl w:val="4"/>
    </w:pPr>
    <w:rPr>
      <w:rFonts w:ascii="Verdana" w:hAnsi="Verdana"/>
    </w:rPr>
  </w:style>
  <w:style w:type="paragraph" w:customStyle="1" w:styleId="NoteLevel6">
    <w:name w:val="Note Level 6"/>
    <w:basedOn w:val="Normal"/>
    <w:uiPriority w:val="99"/>
    <w:semiHidden/>
    <w:unhideWhenUsed/>
    <w:rsid w:val="00AA67A4"/>
    <w:pPr>
      <w:keepNext/>
      <w:numPr>
        <w:ilvl w:val="5"/>
        <w:numId w:val="7"/>
      </w:numPr>
      <w:contextualSpacing/>
      <w:outlineLvl w:val="5"/>
    </w:pPr>
    <w:rPr>
      <w:rFonts w:ascii="Verdana" w:hAnsi="Verdana"/>
    </w:rPr>
  </w:style>
  <w:style w:type="paragraph" w:customStyle="1" w:styleId="NoteLevel7">
    <w:name w:val="Note Level 7"/>
    <w:basedOn w:val="Normal"/>
    <w:uiPriority w:val="99"/>
    <w:semiHidden/>
    <w:unhideWhenUsed/>
    <w:rsid w:val="00AA67A4"/>
    <w:pPr>
      <w:keepNext/>
      <w:numPr>
        <w:ilvl w:val="6"/>
        <w:numId w:val="7"/>
      </w:numPr>
      <w:contextualSpacing/>
      <w:outlineLvl w:val="6"/>
    </w:pPr>
    <w:rPr>
      <w:rFonts w:ascii="Verdana" w:hAnsi="Verdana"/>
    </w:rPr>
  </w:style>
  <w:style w:type="paragraph" w:customStyle="1" w:styleId="NoteLevel8">
    <w:name w:val="Note Level 8"/>
    <w:basedOn w:val="Normal"/>
    <w:uiPriority w:val="99"/>
    <w:semiHidden/>
    <w:unhideWhenUsed/>
    <w:rsid w:val="00AA67A4"/>
    <w:pPr>
      <w:keepNext/>
      <w:numPr>
        <w:ilvl w:val="7"/>
        <w:numId w:val="7"/>
      </w:numPr>
      <w:contextualSpacing/>
      <w:outlineLvl w:val="7"/>
    </w:pPr>
    <w:rPr>
      <w:rFonts w:ascii="Verdana" w:hAnsi="Verdana"/>
    </w:rPr>
  </w:style>
  <w:style w:type="paragraph" w:customStyle="1" w:styleId="NoteLevel9">
    <w:name w:val="Note Level 9"/>
    <w:basedOn w:val="Normal"/>
    <w:uiPriority w:val="99"/>
    <w:semiHidden/>
    <w:unhideWhenUsed/>
    <w:rsid w:val="00AA67A4"/>
    <w:pPr>
      <w:keepNext/>
      <w:numPr>
        <w:ilvl w:val="8"/>
        <w:numId w:val="7"/>
      </w:numPr>
      <w:contextualSpacing/>
      <w:outlineLvl w:val="8"/>
    </w:pPr>
    <w:rPr>
      <w:rFonts w:ascii="Verdana" w:hAnsi="Verdana"/>
    </w:rPr>
  </w:style>
  <w:style w:type="character" w:styleId="Hyperlink">
    <w:name w:val="Hyperlink"/>
    <w:basedOn w:val="DefaultParagraphFont"/>
    <w:uiPriority w:val="99"/>
    <w:unhideWhenUsed/>
    <w:rsid w:val="002A3078"/>
    <w:rPr>
      <w:color w:val="0000FF" w:themeColor="hyperlink"/>
      <w:u w:val="single"/>
    </w:rPr>
  </w:style>
  <w:style w:type="paragraph" w:styleId="Caption">
    <w:name w:val="caption"/>
    <w:basedOn w:val="Normal"/>
    <w:next w:val="Normal"/>
    <w:uiPriority w:val="35"/>
    <w:unhideWhenUsed/>
    <w:qFormat/>
    <w:rsid w:val="00410DB9"/>
    <w:pPr>
      <w:spacing w:after="200"/>
    </w:pPr>
    <w:rPr>
      <w:b/>
      <w:bCs/>
      <w:color w:val="4F81BD" w:themeColor="accent1"/>
      <w:sz w:val="18"/>
      <w:szCs w:val="18"/>
    </w:rPr>
  </w:style>
  <w:style w:type="paragraph" w:customStyle="1" w:styleId="TableParagraph">
    <w:name w:val="Table Paragraph"/>
    <w:basedOn w:val="Normal"/>
    <w:uiPriority w:val="1"/>
    <w:qFormat/>
    <w:rsid w:val="00A07392"/>
    <w:pPr>
      <w:widowControl w:val="0"/>
      <w:autoSpaceDE w:val="0"/>
      <w:autoSpaceDN w:val="0"/>
      <w:spacing w:line="210" w:lineRule="exact"/>
      <w:jc w:val="center"/>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67"/>
    <w:rPr>
      <w:rFonts w:asciiTheme="majorHAnsi" w:eastAsia="Times New Roman" w:hAnsiTheme="majorHAnsi" w:cs="Times New Roman"/>
    </w:rPr>
  </w:style>
  <w:style w:type="paragraph" w:styleId="Heading1">
    <w:name w:val="heading 1"/>
    <w:basedOn w:val="Normal"/>
    <w:next w:val="Normal"/>
    <w:link w:val="Heading1Char"/>
    <w:uiPriority w:val="9"/>
    <w:qFormat/>
    <w:rsid w:val="007E2A80"/>
    <w:pPr>
      <w:widowControl w:val="0"/>
      <w:ind w:left="140"/>
      <w:outlineLvl w:val="0"/>
    </w:pPr>
    <w:rPr>
      <w:b/>
      <w:u w:val="single"/>
    </w:rPr>
  </w:style>
  <w:style w:type="paragraph" w:styleId="Heading2">
    <w:name w:val="heading 2"/>
    <w:basedOn w:val="Normal"/>
    <w:next w:val="Normal"/>
    <w:link w:val="Heading2Char"/>
    <w:uiPriority w:val="9"/>
    <w:semiHidden/>
    <w:unhideWhenUsed/>
    <w:qFormat/>
    <w:rsid w:val="007E2A80"/>
    <w:pPr>
      <w:widowControl w:val="0"/>
      <w:ind w:left="140"/>
      <w:outlineLvl w:val="1"/>
    </w:pPr>
    <w:rPr>
      <w:b/>
      <w:i/>
    </w:rPr>
  </w:style>
  <w:style w:type="paragraph" w:styleId="Heading3">
    <w:name w:val="heading 3"/>
    <w:basedOn w:val="Normal"/>
    <w:next w:val="Normal"/>
    <w:link w:val="Heading3Char"/>
    <w:uiPriority w:val="9"/>
    <w:semiHidden/>
    <w:unhideWhenUsed/>
    <w:qFormat/>
    <w:rsid w:val="007E2A80"/>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7E2A80"/>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7E2A80"/>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7E2A80"/>
    <w:pPr>
      <w:keepNext/>
      <w:keepLines/>
      <w:spacing w:before="200" w:after="40" w:line="259" w:lineRule="auto"/>
      <w:outlineLvl w:val="5"/>
    </w:pPr>
    <w:rPr>
      <w:rFonts w:ascii="Calibri" w:eastAsia="Calibri" w:hAnsi="Calibri" w:cs="Calibri"/>
      <w:b/>
      <w:sz w:val="20"/>
      <w:szCs w:val="20"/>
    </w:rPr>
  </w:style>
  <w:style w:type="paragraph" w:styleId="Heading7">
    <w:name w:val="heading 7"/>
    <w:basedOn w:val="Normal"/>
    <w:next w:val="Normal"/>
    <w:link w:val="Heading7Char"/>
    <w:qFormat/>
    <w:rsid w:val="00DF4DC8"/>
    <w:pPr>
      <w:keepNext/>
      <w:ind w:left="1260" w:hanging="720"/>
      <w:outlineLvl w:val="6"/>
    </w:pPr>
    <w:rPr>
      <w:rFonts w:ascii="Arial" w:hAnsi="Arial"/>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F4DC8"/>
    <w:rPr>
      <w:rFonts w:ascii="Arial" w:eastAsia="Times New Roman" w:hAnsi="Arial" w:cs="Times New Roman"/>
      <w:noProof/>
      <w:sz w:val="22"/>
    </w:rPr>
  </w:style>
  <w:style w:type="paragraph" w:customStyle="1" w:styleId="NN">
    <w:name w:val="N.N"/>
    <w:basedOn w:val="Normal"/>
    <w:qFormat/>
    <w:rsid w:val="00DF4DC8"/>
    <w:pPr>
      <w:ind w:left="720"/>
    </w:pPr>
    <w:rPr>
      <w:rFonts w:ascii="Arial" w:hAnsi="Arial"/>
      <w:sz w:val="22"/>
    </w:rPr>
  </w:style>
  <w:style w:type="paragraph" w:customStyle="1" w:styleId="NNN">
    <w:name w:val="N.N.N"/>
    <w:basedOn w:val="NN"/>
    <w:qFormat/>
    <w:rsid w:val="00DF4DC8"/>
    <w:rPr>
      <w:noProof/>
    </w:rPr>
  </w:style>
  <w:style w:type="paragraph" w:styleId="Header">
    <w:name w:val="header"/>
    <w:basedOn w:val="Normal"/>
    <w:link w:val="HeaderChar"/>
    <w:uiPriority w:val="99"/>
    <w:unhideWhenUsed/>
    <w:rsid w:val="00081E95"/>
    <w:pPr>
      <w:tabs>
        <w:tab w:val="center" w:pos="4320"/>
        <w:tab w:val="right" w:pos="8640"/>
      </w:tabs>
    </w:pPr>
  </w:style>
  <w:style w:type="character" w:customStyle="1" w:styleId="HeaderChar">
    <w:name w:val="Header Char"/>
    <w:basedOn w:val="DefaultParagraphFont"/>
    <w:link w:val="Header"/>
    <w:uiPriority w:val="99"/>
    <w:rsid w:val="00081E95"/>
  </w:style>
  <w:style w:type="paragraph" w:styleId="Footer">
    <w:name w:val="footer"/>
    <w:basedOn w:val="Normal"/>
    <w:link w:val="FooterChar"/>
    <w:uiPriority w:val="99"/>
    <w:unhideWhenUsed/>
    <w:rsid w:val="00081E95"/>
    <w:pPr>
      <w:tabs>
        <w:tab w:val="center" w:pos="4320"/>
        <w:tab w:val="right" w:pos="8640"/>
      </w:tabs>
    </w:pPr>
  </w:style>
  <w:style w:type="character" w:customStyle="1" w:styleId="FooterChar">
    <w:name w:val="Footer Char"/>
    <w:basedOn w:val="DefaultParagraphFont"/>
    <w:link w:val="Footer"/>
    <w:uiPriority w:val="99"/>
    <w:rsid w:val="00081E95"/>
  </w:style>
  <w:style w:type="paragraph" w:customStyle="1" w:styleId="Normal1">
    <w:name w:val="Normal1"/>
    <w:rsid w:val="00C10767"/>
    <w:rPr>
      <w:rFonts w:asciiTheme="majorHAnsi" w:eastAsia="Times New Roman" w:hAnsiTheme="majorHAnsi" w:cs="Times New Roman"/>
    </w:rPr>
  </w:style>
  <w:style w:type="table" w:styleId="TableGrid">
    <w:name w:val="Table Grid"/>
    <w:basedOn w:val="TableNormal"/>
    <w:uiPriority w:val="39"/>
    <w:rsid w:val="00081E9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4CD"/>
    <w:rPr>
      <w:sz w:val="18"/>
      <w:szCs w:val="18"/>
    </w:rPr>
  </w:style>
  <w:style w:type="paragraph" w:styleId="CommentText">
    <w:name w:val="annotation text"/>
    <w:basedOn w:val="Normal"/>
    <w:link w:val="CommentTextChar"/>
    <w:uiPriority w:val="99"/>
    <w:semiHidden/>
    <w:unhideWhenUsed/>
    <w:rsid w:val="008174CD"/>
  </w:style>
  <w:style w:type="character" w:customStyle="1" w:styleId="CommentTextChar">
    <w:name w:val="Comment Text Char"/>
    <w:basedOn w:val="DefaultParagraphFont"/>
    <w:link w:val="CommentText"/>
    <w:uiPriority w:val="99"/>
    <w:semiHidden/>
    <w:rsid w:val="008174C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7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CD"/>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7E2A80"/>
    <w:rPr>
      <w:rFonts w:ascii="Times New Roman" w:eastAsia="Times New Roman" w:hAnsi="Times New Roman" w:cs="Times New Roman"/>
      <w:b/>
      <w:u w:val="single"/>
    </w:rPr>
  </w:style>
  <w:style w:type="character" w:customStyle="1" w:styleId="Heading2Char">
    <w:name w:val="Heading 2 Char"/>
    <w:basedOn w:val="DefaultParagraphFont"/>
    <w:link w:val="Heading2"/>
    <w:uiPriority w:val="9"/>
    <w:semiHidden/>
    <w:rsid w:val="007E2A80"/>
    <w:rPr>
      <w:rFonts w:ascii="Times New Roman" w:eastAsia="Times New Roman" w:hAnsi="Times New Roman" w:cs="Times New Roman"/>
      <w:b/>
      <w:i/>
    </w:rPr>
  </w:style>
  <w:style w:type="character" w:customStyle="1" w:styleId="Heading3Char">
    <w:name w:val="Heading 3 Char"/>
    <w:basedOn w:val="DefaultParagraphFont"/>
    <w:link w:val="Heading3"/>
    <w:uiPriority w:val="9"/>
    <w:semiHidden/>
    <w:rsid w:val="007E2A80"/>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7E2A80"/>
    <w:rPr>
      <w:rFonts w:ascii="Calibri" w:eastAsia="Calibri" w:hAnsi="Calibri" w:cs="Calibri"/>
      <w:b/>
    </w:rPr>
  </w:style>
  <w:style w:type="character" w:customStyle="1" w:styleId="Heading5Char">
    <w:name w:val="Heading 5 Char"/>
    <w:basedOn w:val="DefaultParagraphFont"/>
    <w:link w:val="Heading5"/>
    <w:uiPriority w:val="9"/>
    <w:semiHidden/>
    <w:rsid w:val="007E2A80"/>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7E2A80"/>
    <w:rPr>
      <w:rFonts w:ascii="Calibri" w:eastAsia="Calibri" w:hAnsi="Calibri" w:cs="Calibri"/>
      <w:b/>
      <w:sz w:val="20"/>
      <w:szCs w:val="20"/>
    </w:rPr>
  </w:style>
  <w:style w:type="paragraph" w:styleId="Title">
    <w:name w:val="Title"/>
    <w:basedOn w:val="Normal"/>
    <w:next w:val="Normal"/>
    <w:link w:val="TitleChar"/>
    <w:uiPriority w:val="10"/>
    <w:qFormat/>
    <w:rsid w:val="007E2A80"/>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7E2A80"/>
    <w:rPr>
      <w:rFonts w:ascii="Calibri" w:eastAsia="Calibri" w:hAnsi="Calibri" w:cs="Calibri"/>
      <w:b/>
      <w:sz w:val="72"/>
      <w:szCs w:val="72"/>
    </w:rPr>
  </w:style>
  <w:style w:type="paragraph" w:styleId="Subtitle">
    <w:name w:val="Subtitle"/>
    <w:basedOn w:val="Normal"/>
    <w:next w:val="Normal"/>
    <w:link w:val="SubtitleChar"/>
    <w:uiPriority w:val="11"/>
    <w:qFormat/>
    <w:rsid w:val="007E2A80"/>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E2A80"/>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7E2A80"/>
    <w:pPr>
      <w:spacing w:after="160"/>
    </w:pPr>
    <w:rPr>
      <w:rFonts w:ascii="Calibri" w:eastAsia="Calibri" w:hAnsi="Calibri" w:cs="Calibri"/>
      <w:b/>
      <w:bCs/>
      <w:sz w:val="20"/>
      <w:szCs w:val="20"/>
    </w:rPr>
  </w:style>
  <w:style w:type="character" w:customStyle="1" w:styleId="CommentSubjectChar">
    <w:name w:val="Comment Subject Char"/>
    <w:basedOn w:val="CommentTextChar"/>
    <w:link w:val="CommentSubject"/>
    <w:uiPriority w:val="99"/>
    <w:semiHidden/>
    <w:rsid w:val="007E2A80"/>
    <w:rPr>
      <w:rFonts w:ascii="Calibri" w:eastAsia="Calibri" w:hAnsi="Calibri" w:cs="Calibri"/>
      <w:b/>
      <w:bCs/>
      <w:sz w:val="20"/>
      <w:szCs w:val="20"/>
    </w:rPr>
  </w:style>
  <w:style w:type="paragraph" w:styleId="ListParagraph">
    <w:name w:val="List Paragraph"/>
    <w:basedOn w:val="Normal"/>
    <w:uiPriority w:val="34"/>
    <w:qFormat/>
    <w:rsid w:val="007E2A80"/>
    <w:pPr>
      <w:spacing w:after="160" w:line="259" w:lineRule="auto"/>
      <w:ind w:left="720"/>
      <w:contextualSpacing/>
    </w:pPr>
    <w:rPr>
      <w:rFonts w:ascii="Calibri" w:eastAsia="Calibri" w:hAnsi="Calibri" w:cs="Calibri"/>
      <w:sz w:val="22"/>
      <w:szCs w:val="22"/>
    </w:rPr>
  </w:style>
  <w:style w:type="paragraph" w:styleId="Revision">
    <w:name w:val="Revision"/>
    <w:hidden/>
    <w:uiPriority w:val="99"/>
    <w:semiHidden/>
    <w:rsid w:val="004214BB"/>
    <w:rPr>
      <w:rFonts w:asciiTheme="majorHAnsi" w:eastAsia="Times New Roman" w:hAnsiTheme="majorHAnsi" w:cs="Times New Roman"/>
    </w:rPr>
  </w:style>
  <w:style w:type="paragraph" w:styleId="NormalWeb">
    <w:name w:val="Normal (Web)"/>
    <w:basedOn w:val="Normal"/>
    <w:uiPriority w:val="99"/>
    <w:semiHidden/>
    <w:unhideWhenUsed/>
    <w:rsid w:val="00AF754E"/>
    <w:pPr>
      <w:spacing w:before="100" w:beforeAutospacing="1" w:after="100" w:afterAutospacing="1"/>
    </w:pPr>
    <w:rPr>
      <w:rFonts w:ascii="Times New Roman" w:eastAsiaTheme="minorEastAsia" w:hAnsi="Times New Roman"/>
      <w:sz w:val="20"/>
      <w:szCs w:val="20"/>
    </w:rPr>
  </w:style>
  <w:style w:type="paragraph" w:customStyle="1" w:styleId="NoteLevel1">
    <w:name w:val="Note Level 1"/>
    <w:basedOn w:val="Normal"/>
    <w:uiPriority w:val="99"/>
    <w:unhideWhenUsed/>
    <w:rsid w:val="00AA67A4"/>
    <w:pPr>
      <w:keepNext/>
      <w:numPr>
        <w:numId w:val="7"/>
      </w:numPr>
      <w:contextualSpacing/>
      <w:outlineLvl w:val="0"/>
    </w:pPr>
    <w:rPr>
      <w:rFonts w:ascii="Verdana" w:hAnsi="Verdana"/>
    </w:rPr>
  </w:style>
  <w:style w:type="paragraph" w:customStyle="1" w:styleId="NoteLevel2">
    <w:name w:val="Note Level 2"/>
    <w:basedOn w:val="Normal"/>
    <w:uiPriority w:val="99"/>
    <w:semiHidden/>
    <w:unhideWhenUsed/>
    <w:rsid w:val="00AA67A4"/>
    <w:pPr>
      <w:keepNext/>
      <w:numPr>
        <w:ilvl w:val="1"/>
        <w:numId w:val="7"/>
      </w:numPr>
      <w:contextualSpacing/>
      <w:outlineLvl w:val="1"/>
    </w:pPr>
    <w:rPr>
      <w:rFonts w:ascii="Verdana" w:hAnsi="Verdana"/>
    </w:rPr>
  </w:style>
  <w:style w:type="paragraph" w:customStyle="1" w:styleId="NoteLevel3">
    <w:name w:val="Note Level 3"/>
    <w:basedOn w:val="Normal"/>
    <w:uiPriority w:val="99"/>
    <w:semiHidden/>
    <w:unhideWhenUsed/>
    <w:rsid w:val="00AA67A4"/>
    <w:pPr>
      <w:keepNext/>
      <w:numPr>
        <w:ilvl w:val="2"/>
        <w:numId w:val="7"/>
      </w:numPr>
      <w:contextualSpacing/>
      <w:outlineLvl w:val="2"/>
    </w:pPr>
    <w:rPr>
      <w:rFonts w:ascii="Verdana" w:hAnsi="Verdana"/>
    </w:rPr>
  </w:style>
  <w:style w:type="paragraph" w:customStyle="1" w:styleId="NoteLevel4">
    <w:name w:val="Note Level 4"/>
    <w:basedOn w:val="Normal"/>
    <w:uiPriority w:val="99"/>
    <w:semiHidden/>
    <w:unhideWhenUsed/>
    <w:rsid w:val="00AA67A4"/>
    <w:pPr>
      <w:keepNext/>
      <w:numPr>
        <w:ilvl w:val="3"/>
        <w:numId w:val="7"/>
      </w:numPr>
      <w:contextualSpacing/>
      <w:outlineLvl w:val="3"/>
    </w:pPr>
    <w:rPr>
      <w:rFonts w:ascii="Verdana" w:hAnsi="Verdana"/>
    </w:rPr>
  </w:style>
  <w:style w:type="paragraph" w:customStyle="1" w:styleId="NoteLevel5">
    <w:name w:val="Note Level 5"/>
    <w:basedOn w:val="Normal"/>
    <w:uiPriority w:val="99"/>
    <w:semiHidden/>
    <w:unhideWhenUsed/>
    <w:rsid w:val="00AA67A4"/>
    <w:pPr>
      <w:keepNext/>
      <w:numPr>
        <w:ilvl w:val="4"/>
        <w:numId w:val="7"/>
      </w:numPr>
      <w:contextualSpacing/>
      <w:outlineLvl w:val="4"/>
    </w:pPr>
    <w:rPr>
      <w:rFonts w:ascii="Verdana" w:hAnsi="Verdana"/>
    </w:rPr>
  </w:style>
  <w:style w:type="paragraph" w:customStyle="1" w:styleId="NoteLevel6">
    <w:name w:val="Note Level 6"/>
    <w:basedOn w:val="Normal"/>
    <w:uiPriority w:val="99"/>
    <w:semiHidden/>
    <w:unhideWhenUsed/>
    <w:rsid w:val="00AA67A4"/>
    <w:pPr>
      <w:keepNext/>
      <w:numPr>
        <w:ilvl w:val="5"/>
        <w:numId w:val="7"/>
      </w:numPr>
      <w:contextualSpacing/>
      <w:outlineLvl w:val="5"/>
    </w:pPr>
    <w:rPr>
      <w:rFonts w:ascii="Verdana" w:hAnsi="Verdana"/>
    </w:rPr>
  </w:style>
  <w:style w:type="paragraph" w:customStyle="1" w:styleId="NoteLevel7">
    <w:name w:val="Note Level 7"/>
    <w:basedOn w:val="Normal"/>
    <w:uiPriority w:val="99"/>
    <w:semiHidden/>
    <w:unhideWhenUsed/>
    <w:rsid w:val="00AA67A4"/>
    <w:pPr>
      <w:keepNext/>
      <w:numPr>
        <w:ilvl w:val="6"/>
        <w:numId w:val="7"/>
      </w:numPr>
      <w:contextualSpacing/>
      <w:outlineLvl w:val="6"/>
    </w:pPr>
    <w:rPr>
      <w:rFonts w:ascii="Verdana" w:hAnsi="Verdana"/>
    </w:rPr>
  </w:style>
  <w:style w:type="paragraph" w:customStyle="1" w:styleId="NoteLevel8">
    <w:name w:val="Note Level 8"/>
    <w:basedOn w:val="Normal"/>
    <w:uiPriority w:val="99"/>
    <w:semiHidden/>
    <w:unhideWhenUsed/>
    <w:rsid w:val="00AA67A4"/>
    <w:pPr>
      <w:keepNext/>
      <w:numPr>
        <w:ilvl w:val="7"/>
        <w:numId w:val="7"/>
      </w:numPr>
      <w:contextualSpacing/>
      <w:outlineLvl w:val="7"/>
    </w:pPr>
    <w:rPr>
      <w:rFonts w:ascii="Verdana" w:hAnsi="Verdana"/>
    </w:rPr>
  </w:style>
  <w:style w:type="paragraph" w:customStyle="1" w:styleId="NoteLevel9">
    <w:name w:val="Note Level 9"/>
    <w:basedOn w:val="Normal"/>
    <w:uiPriority w:val="99"/>
    <w:semiHidden/>
    <w:unhideWhenUsed/>
    <w:rsid w:val="00AA67A4"/>
    <w:pPr>
      <w:keepNext/>
      <w:numPr>
        <w:ilvl w:val="8"/>
        <w:numId w:val="7"/>
      </w:numPr>
      <w:contextualSpacing/>
      <w:outlineLvl w:val="8"/>
    </w:pPr>
    <w:rPr>
      <w:rFonts w:ascii="Verdana" w:hAnsi="Verdana"/>
    </w:rPr>
  </w:style>
  <w:style w:type="character" w:styleId="Hyperlink">
    <w:name w:val="Hyperlink"/>
    <w:basedOn w:val="DefaultParagraphFont"/>
    <w:uiPriority w:val="99"/>
    <w:unhideWhenUsed/>
    <w:rsid w:val="002A3078"/>
    <w:rPr>
      <w:color w:val="0000FF" w:themeColor="hyperlink"/>
      <w:u w:val="single"/>
    </w:rPr>
  </w:style>
  <w:style w:type="paragraph" w:styleId="Caption">
    <w:name w:val="caption"/>
    <w:basedOn w:val="Normal"/>
    <w:next w:val="Normal"/>
    <w:uiPriority w:val="35"/>
    <w:unhideWhenUsed/>
    <w:qFormat/>
    <w:rsid w:val="00410DB9"/>
    <w:pPr>
      <w:spacing w:after="200"/>
    </w:pPr>
    <w:rPr>
      <w:b/>
      <w:bCs/>
      <w:color w:val="4F81BD" w:themeColor="accent1"/>
      <w:sz w:val="18"/>
      <w:szCs w:val="18"/>
    </w:rPr>
  </w:style>
  <w:style w:type="paragraph" w:customStyle="1" w:styleId="TableParagraph">
    <w:name w:val="Table Paragraph"/>
    <w:basedOn w:val="Normal"/>
    <w:uiPriority w:val="1"/>
    <w:qFormat/>
    <w:rsid w:val="00A07392"/>
    <w:pPr>
      <w:widowControl w:val="0"/>
      <w:autoSpaceDE w:val="0"/>
      <w:autoSpaceDN w:val="0"/>
      <w:spacing w:line="210" w:lineRule="exact"/>
      <w:jc w:val="center"/>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5831">
      <w:bodyDiv w:val="1"/>
      <w:marLeft w:val="0"/>
      <w:marRight w:val="0"/>
      <w:marTop w:val="0"/>
      <w:marBottom w:val="0"/>
      <w:divBdr>
        <w:top w:val="none" w:sz="0" w:space="0" w:color="auto"/>
        <w:left w:val="none" w:sz="0" w:space="0" w:color="auto"/>
        <w:bottom w:val="none" w:sz="0" w:space="0" w:color="auto"/>
        <w:right w:val="none" w:sz="0" w:space="0" w:color="auto"/>
      </w:divBdr>
    </w:div>
    <w:div w:id="135494660">
      <w:bodyDiv w:val="1"/>
      <w:marLeft w:val="0"/>
      <w:marRight w:val="0"/>
      <w:marTop w:val="0"/>
      <w:marBottom w:val="0"/>
      <w:divBdr>
        <w:top w:val="none" w:sz="0" w:space="0" w:color="auto"/>
        <w:left w:val="none" w:sz="0" w:space="0" w:color="auto"/>
        <w:bottom w:val="none" w:sz="0" w:space="0" w:color="auto"/>
        <w:right w:val="none" w:sz="0" w:space="0" w:color="auto"/>
      </w:divBdr>
    </w:div>
    <w:div w:id="305086377">
      <w:bodyDiv w:val="1"/>
      <w:marLeft w:val="0"/>
      <w:marRight w:val="0"/>
      <w:marTop w:val="0"/>
      <w:marBottom w:val="0"/>
      <w:divBdr>
        <w:top w:val="none" w:sz="0" w:space="0" w:color="auto"/>
        <w:left w:val="none" w:sz="0" w:space="0" w:color="auto"/>
        <w:bottom w:val="none" w:sz="0" w:space="0" w:color="auto"/>
        <w:right w:val="none" w:sz="0" w:space="0" w:color="auto"/>
      </w:divBdr>
    </w:div>
    <w:div w:id="601298658">
      <w:bodyDiv w:val="1"/>
      <w:marLeft w:val="0"/>
      <w:marRight w:val="0"/>
      <w:marTop w:val="0"/>
      <w:marBottom w:val="0"/>
      <w:divBdr>
        <w:top w:val="none" w:sz="0" w:space="0" w:color="auto"/>
        <w:left w:val="none" w:sz="0" w:space="0" w:color="auto"/>
        <w:bottom w:val="none" w:sz="0" w:space="0" w:color="auto"/>
        <w:right w:val="none" w:sz="0" w:space="0" w:color="auto"/>
      </w:divBdr>
    </w:div>
    <w:div w:id="859011070">
      <w:bodyDiv w:val="1"/>
      <w:marLeft w:val="0"/>
      <w:marRight w:val="0"/>
      <w:marTop w:val="0"/>
      <w:marBottom w:val="0"/>
      <w:divBdr>
        <w:top w:val="none" w:sz="0" w:space="0" w:color="auto"/>
        <w:left w:val="none" w:sz="0" w:space="0" w:color="auto"/>
        <w:bottom w:val="none" w:sz="0" w:space="0" w:color="auto"/>
        <w:right w:val="none" w:sz="0" w:space="0" w:color="auto"/>
      </w:divBdr>
    </w:div>
    <w:div w:id="972904439">
      <w:bodyDiv w:val="1"/>
      <w:marLeft w:val="0"/>
      <w:marRight w:val="0"/>
      <w:marTop w:val="0"/>
      <w:marBottom w:val="0"/>
      <w:divBdr>
        <w:top w:val="none" w:sz="0" w:space="0" w:color="auto"/>
        <w:left w:val="none" w:sz="0" w:space="0" w:color="auto"/>
        <w:bottom w:val="none" w:sz="0" w:space="0" w:color="auto"/>
        <w:right w:val="none" w:sz="0" w:space="0" w:color="auto"/>
      </w:divBdr>
    </w:div>
    <w:div w:id="1098983061">
      <w:bodyDiv w:val="1"/>
      <w:marLeft w:val="0"/>
      <w:marRight w:val="0"/>
      <w:marTop w:val="0"/>
      <w:marBottom w:val="0"/>
      <w:divBdr>
        <w:top w:val="none" w:sz="0" w:space="0" w:color="auto"/>
        <w:left w:val="none" w:sz="0" w:space="0" w:color="auto"/>
        <w:bottom w:val="none" w:sz="0" w:space="0" w:color="auto"/>
        <w:right w:val="none" w:sz="0" w:space="0" w:color="auto"/>
      </w:divBdr>
    </w:div>
    <w:div w:id="1149978082">
      <w:bodyDiv w:val="1"/>
      <w:marLeft w:val="0"/>
      <w:marRight w:val="0"/>
      <w:marTop w:val="0"/>
      <w:marBottom w:val="0"/>
      <w:divBdr>
        <w:top w:val="none" w:sz="0" w:space="0" w:color="auto"/>
        <w:left w:val="none" w:sz="0" w:space="0" w:color="auto"/>
        <w:bottom w:val="none" w:sz="0" w:space="0" w:color="auto"/>
        <w:right w:val="none" w:sz="0" w:space="0" w:color="auto"/>
      </w:divBdr>
    </w:div>
    <w:div w:id="1582792540">
      <w:bodyDiv w:val="1"/>
      <w:marLeft w:val="0"/>
      <w:marRight w:val="0"/>
      <w:marTop w:val="0"/>
      <w:marBottom w:val="0"/>
      <w:divBdr>
        <w:top w:val="none" w:sz="0" w:space="0" w:color="auto"/>
        <w:left w:val="none" w:sz="0" w:space="0" w:color="auto"/>
        <w:bottom w:val="none" w:sz="0" w:space="0" w:color="auto"/>
        <w:right w:val="none" w:sz="0" w:space="0" w:color="auto"/>
      </w:divBdr>
    </w:div>
    <w:div w:id="1616399805">
      <w:bodyDiv w:val="1"/>
      <w:marLeft w:val="0"/>
      <w:marRight w:val="0"/>
      <w:marTop w:val="0"/>
      <w:marBottom w:val="0"/>
      <w:divBdr>
        <w:top w:val="none" w:sz="0" w:space="0" w:color="auto"/>
        <w:left w:val="none" w:sz="0" w:space="0" w:color="auto"/>
        <w:bottom w:val="none" w:sz="0" w:space="0" w:color="auto"/>
        <w:right w:val="none" w:sz="0" w:space="0" w:color="auto"/>
      </w:divBdr>
    </w:div>
    <w:div w:id="1869758999">
      <w:bodyDiv w:val="1"/>
      <w:marLeft w:val="0"/>
      <w:marRight w:val="0"/>
      <w:marTop w:val="0"/>
      <w:marBottom w:val="0"/>
      <w:divBdr>
        <w:top w:val="none" w:sz="0" w:space="0" w:color="auto"/>
        <w:left w:val="none" w:sz="0" w:space="0" w:color="auto"/>
        <w:bottom w:val="none" w:sz="0" w:space="0" w:color="auto"/>
        <w:right w:val="none" w:sz="0" w:space="0" w:color="auto"/>
      </w:divBdr>
    </w:div>
    <w:div w:id="1907377812">
      <w:bodyDiv w:val="1"/>
      <w:marLeft w:val="0"/>
      <w:marRight w:val="0"/>
      <w:marTop w:val="0"/>
      <w:marBottom w:val="0"/>
      <w:divBdr>
        <w:top w:val="none" w:sz="0" w:space="0" w:color="auto"/>
        <w:left w:val="none" w:sz="0" w:space="0" w:color="auto"/>
        <w:bottom w:val="none" w:sz="0" w:space="0" w:color="auto"/>
        <w:right w:val="none" w:sz="0" w:space="0" w:color="auto"/>
      </w:divBdr>
    </w:div>
    <w:div w:id="1926265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edbird:Documents:CliftonContract:Comp%20Plan:CliftonCompPlanChapter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redbird:Documents:CliftonContract:Comp%20Plan:CliftonCompPlanChapter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redbird:Documents:CliftonContract:Comp%20Plan:CliftonCompPlanChapter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redbird:Documents:CliftonContract:Comp%20Plan:CliftonCompPlanChapt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latin typeface="+mj-lt"/>
              </a:defRPr>
            </a:pPr>
            <a:r>
              <a:rPr lang="en-US" sz="1400">
                <a:latin typeface="+mj-lt"/>
              </a:rPr>
              <a:t>2015 Population Estimate</a:t>
            </a:r>
            <a:r>
              <a:rPr lang="en-US" sz="1400" baseline="0">
                <a:latin typeface="+mj-lt"/>
              </a:rPr>
              <a:t> Comparison</a:t>
            </a:r>
            <a:endParaRPr lang="en-US" sz="1400">
              <a:latin typeface="+mj-lt"/>
            </a:endParaRPr>
          </a:p>
        </c:rich>
      </c:tx>
      <c:overlay val="0"/>
    </c:title>
    <c:autoTitleDeleted val="0"/>
    <c:plotArea>
      <c:layout/>
      <c:pieChart>
        <c:varyColors val="1"/>
        <c:ser>
          <c:idx val="0"/>
          <c:order val="0"/>
          <c:dLbls>
            <c:spPr>
              <a:noFill/>
              <a:ln>
                <a:noFill/>
              </a:ln>
              <a:effectLst/>
            </c:spPr>
            <c:txPr>
              <a:bodyPr/>
              <a:lstStyle/>
              <a:p>
                <a:pPr>
                  <a:defRPr>
                    <a:latin typeface="+mj-lt"/>
                  </a:defRPr>
                </a:pPr>
                <a:endParaRPr lang="en-US"/>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(Sheet2!$C$7,Sheet2!$C$9,Sheet2!$C$11,Sheet2!$C$15,Sheet2!$C$17)</c:f>
              <c:strCache>
                <c:ptCount val="5"/>
                <c:pt idx="0">
                  <c:v>Clifton</c:v>
                </c:pt>
                <c:pt idx="1">
                  <c:v>Eddington</c:v>
                </c:pt>
                <c:pt idx="2">
                  <c:v>Holden</c:v>
                </c:pt>
                <c:pt idx="3">
                  <c:v>Amherst</c:v>
                </c:pt>
                <c:pt idx="4">
                  <c:v>Otis</c:v>
                </c:pt>
              </c:strCache>
            </c:strRef>
          </c:cat>
          <c:val>
            <c:numRef>
              <c:f>(Sheet2!$J$7,Sheet2!$J$9,Sheet2!$J$11,Sheet2!$J$15,Sheet2!$J$17)</c:f>
              <c:numCache>
                <c:formatCode>#,##0</c:formatCode>
                <c:ptCount val="5"/>
                <c:pt idx="0" formatCode="General">
                  <c:v>776</c:v>
                </c:pt>
                <c:pt idx="1">
                  <c:v>2188</c:v>
                </c:pt>
                <c:pt idx="2">
                  <c:v>3080</c:v>
                </c:pt>
                <c:pt idx="3" formatCode="General">
                  <c:v>229</c:v>
                </c:pt>
                <c:pt idx="4" formatCode="General">
                  <c:v>775</c:v>
                </c:pt>
              </c:numCache>
            </c:numRef>
          </c:val>
          <c:extLst xmlns:c16r2="http://schemas.microsoft.com/office/drawing/2015/06/chart">
            <c:ext xmlns:c16="http://schemas.microsoft.com/office/drawing/2014/chart" uri="{C3380CC4-5D6E-409C-BE32-E72D297353CC}">
              <c16:uniqueId val="{00000000-7A7A-4E45-A574-50379CF9C2F4}"/>
            </c:ext>
          </c:extLst>
        </c:ser>
        <c:dLbls>
          <c:showLegendKey val="0"/>
          <c:showVal val="0"/>
          <c:showCatName val="0"/>
          <c:showSerName val="0"/>
          <c:showPercent val="0"/>
          <c:showBubbleSize val="0"/>
          <c:showLeaderLines val="1"/>
        </c:dLbls>
        <c:firstSliceAng val="0"/>
      </c:pieChart>
    </c:plotArea>
    <c:legend>
      <c:legendPos val="r"/>
      <c:overlay val="0"/>
      <c:txPr>
        <a:bodyPr/>
        <a:lstStyle/>
        <a:p>
          <a:pPr algn="ctr" rtl="0">
            <a:defRPr>
              <a:latin typeface="+mj-lt"/>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j-lt"/>
                <a:ea typeface="+mn-ea"/>
                <a:cs typeface="+mn-cs"/>
              </a:defRPr>
            </a:pPr>
            <a:r>
              <a:rPr lang="en-US" b="1">
                <a:latin typeface="+mj-lt"/>
              </a:rPr>
              <a:t>Population of Clifton</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Population</c:v>
                </c:pt>
              </c:strCache>
            </c:strRef>
          </c:tx>
          <c:spPr>
            <a:solidFill>
              <a:schemeClr val="accent1"/>
            </a:solidFill>
            <a:ln>
              <a:noFill/>
            </a:ln>
            <a:effectLst/>
          </c:spPr>
          <c:invertIfNegative val="0"/>
          <c:cat>
            <c:strRef>
              <c:f>Sheet1!$A$2:$A$19</c:f>
              <c:strCache>
                <c:ptCount val="18"/>
                <c:pt idx="0">
                  <c:v>1850</c:v>
                </c:pt>
                <c:pt idx="1">
                  <c:v>1860</c:v>
                </c:pt>
                <c:pt idx="2">
                  <c:v>1870</c:v>
                </c:pt>
                <c:pt idx="3">
                  <c:v>1880</c:v>
                </c:pt>
                <c:pt idx="4">
                  <c:v>1890</c:v>
                </c:pt>
                <c:pt idx="5">
                  <c:v>1900</c:v>
                </c:pt>
                <c:pt idx="6">
                  <c:v>1910</c:v>
                </c:pt>
                <c:pt idx="7">
                  <c:v>1920</c:v>
                </c:pt>
                <c:pt idx="8">
                  <c:v>1930</c:v>
                </c:pt>
                <c:pt idx="9">
                  <c:v>1940</c:v>
                </c:pt>
                <c:pt idx="10">
                  <c:v>1950</c:v>
                </c:pt>
                <c:pt idx="11">
                  <c:v>1960</c:v>
                </c:pt>
                <c:pt idx="12">
                  <c:v>1970</c:v>
                </c:pt>
                <c:pt idx="13">
                  <c:v>1980</c:v>
                </c:pt>
                <c:pt idx="14">
                  <c:v>1990</c:v>
                </c:pt>
                <c:pt idx="15">
                  <c:v>2000</c:v>
                </c:pt>
                <c:pt idx="16">
                  <c:v>2010</c:v>
                </c:pt>
                <c:pt idx="17">
                  <c:v>2015 (est.)</c:v>
                </c:pt>
              </c:strCache>
            </c:strRef>
          </c:cat>
          <c:val>
            <c:numRef>
              <c:f>Sheet1!$B$2:$B$19</c:f>
              <c:numCache>
                <c:formatCode>General</c:formatCode>
                <c:ptCount val="18"/>
                <c:pt idx="0">
                  <c:v>306</c:v>
                </c:pt>
                <c:pt idx="1">
                  <c:v>307</c:v>
                </c:pt>
                <c:pt idx="2">
                  <c:v>348</c:v>
                </c:pt>
                <c:pt idx="3">
                  <c:v>350</c:v>
                </c:pt>
                <c:pt idx="4">
                  <c:v>284</c:v>
                </c:pt>
                <c:pt idx="5">
                  <c:v>236</c:v>
                </c:pt>
                <c:pt idx="6">
                  <c:v>217</c:v>
                </c:pt>
                <c:pt idx="7">
                  <c:v>185</c:v>
                </c:pt>
                <c:pt idx="8">
                  <c:v>156</c:v>
                </c:pt>
                <c:pt idx="9">
                  <c:v>168</c:v>
                </c:pt>
                <c:pt idx="10">
                  <c:v>193</c:v>
                </c:pt>
                <c:pt idx="11">
                  <c:v>227</c:v>
                </c:pt>
                <c:pt idx="12">
                  <c:v>233</c:v>
                </c:pt>
                <c:pt idx="13">
                  <c:v>462</c:v>
                </c:pt>
                <c:pt idx="14">
                  <c:v>607</c:v>
                </c:pt>
                <c:pt idx="15">
                  <c:v>743</c:v>
                </c:pt>
                <c:pt idx="16">
                  <c:v>921</c:v>
                </c:pt>
                <c:pt idx="17">
                  <c:v>801</c:v>
                </c:pt>
              </c:numCache>
            </c:numRef>
          </c:val>
          <c:extLst xmlns:c16r2="http://schemas.microsoft.com/office/drawing/2015/06/chart">
            <c:ext xmlns:c16="http://schemas.microsoft.com/office/drawing/2014/chart" uri="{C3380CC4-5D6E-409C-BE32-E72D297353CC}">
              <c16:uniqueId val="{00000000-A8AF-D946-89ED-E4585644701C}"/>
            </c:ext>
          </c:extLst>
        </c:ser>
        <c:dLbls>
          <c:showLegendKey val="0"/>
          <c:showVal val="0"/>
          <c:showCatName val="0"/>
          <c:showSerName val="0"/>
          <c:showPercent val="0"/>
          <c:showBubbleSize val="0"/>
        </c:dLbls>
        <c:gapWidth val="219"/>
        <c:overlap val="-27"/>
        <c:axId val="60057472"/>
        <c:axId val="60063744"/>
      </c:barChart>
      <c:catAx>
        <c:axId val="6005747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j-lt"/>
                    <a:ea typeface="+mn-ea"/>
                    <a:cs typeface="+mn-cs"/>
                  </a:defRPr>
                </a:pPr>
                <a:r>
                  <a:rPr lang="en-US" b="1">
                    <a:latin typeface="+mj-lt"/>
                  </a:rPr>
                  <a:t>Census 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60063744"/>
        <c:crosses val="autoZero"/>
        <c:auto val="1"/>
        <c:lblAlgn val="ctr"/>
        <c:lblOffset val="100"/>
        <c:noMultiLvlLbl val="0"/>
      </c:catAx>
      <c:valAx>
        <c:axId val="60063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j-lt"/>
                    <a:ea typeface="+mn-ea"/>
                    <a:cs typeface="+mn-cs"/>
                  </a:defRPr>
                </a:pPr>
                <a:r>
                  <a:rPr lang="en-US" b="1">
                    <a:latin typeface="+mj-lt"/>
                  </a:rPr>
                  <a:t>Population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600574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j-lt"/>
              </a:defRPr>
            </a:pPr>
            <a:r>
              <a:rPr lang="en-US" sz="1200">
                <a:latin typeface="+mj-lt"/>
              </a:rPr>
              <a:t>COMPARATIVE RATES OF CHANGE IN POPULATION 1960-2015</a:t>
            </a:r>
          </a:p>
        </c:rich>
      </c:tx>
      <c:layout>
        <c:manualLayout>
          <c:xMode val="edge"/>
          <c:yMode val="edge"/>
          <c:x val="0.121730708661417"/>
          <c:y val="3.5721373288350899E-2"/>
        </c:manualLayout>
      </c:layout>
      <c:overlay val="0"/>
    </c:title>
    <c:autoTitleDeleted val="0"/>
    <c:plotArea>
      <c:layout/>
      <c:barChart>
        <c:barDir val="col"/>
        <c:grouping val="clustered"/>
        <c:varyColors val="0"/>
        <c:ser>
          <c:idx val="0"/>
          <c:order val="0"/>
          <c:tx>
            <c:strRef>
              <c:f>Sheet2!$C$7</c:f>
              <c:strCache>
                <c:ptCount val="1"/>
                <c:pt idx="0">
                  <c:v>Clifton</c:v>
                </c:pt>
              </c:strCache>
            </c:strRef>
          </c:tx>
          <c:invertIfNegative val="0"/>
          <c:cat>
            <c:numRef>
              <c:f>Sheet2!$E$6:$J$6</c:f>
              <c:numCache>
                <c:formatCode>General</c:formatCode>
                <c:ptCount val="6"/>
                <c:pt idx="0">
                  <c:v>1970</c:v>
                </c:pt>
                <c:pt idx="1">
                  <c:v>1980</c:v>
                </c:pt>
                <c:pt idx="2">
                  <c:v>1990</c:v>
                </c:pt>
                <c:pt idx="3">
                  <c:v>2000</c:v>
                </c:pt>
                <c:pt idx="4">
                  <c:v>2010</c:v>
                </c:pt>
                <c:pt idx="5">
                  <c:v>2015</c:v>
                </c:pt>
              </c:numCache>
            </c:numRef>
          </c:cat>
          <c:val>
            <c:numRef>
              <c:f>Sheet2!$E$8:$J$8</c:f>
              <c:numCache>
                <c:formatCode>0.00%</c:formatCode>
                <c:ptCount val="6"/>
                <c:pt idx="0">
                  <c:v>2.6431718061673999E-2</c:v>
                </c:pt>
                <c:pt idx="1">
                  <c:v>0.98283261802575095</c:v>
                </c:pt>
                <c:pt idx="2">
                  <c:v>0.31385281385281399</c:v>
                </c:pt>
                <c:pt idx="3">
                  <c:v>0.22405271828665599</c:v>
                </c:pt>
                <c:pt idx="4">
                  <c:v>0.23956931359354</c:v>
                </c:pt>
                <c:pt idx="5">
                  <c:v>-0.157437567861021</c:v>
                </c:pt>
              </c:numCache>
            </c:numRef>
          </c:val>
          <c:extLst xmlns:c16r2="http://schemas.microsoft.com/office/drawing/2015/06/chart">
            <c:ext xmlns:c16="http://schemas.microsoft.com/office/drawing/2014/chart" uri="{C3380CC4-5D6E-409C-BE32-E72D297353CC}">
              <c16:uniqueId val="{00000000-2C1C-9C47-B24C-D63487704493}"/>
            </c:ext>
          </c:extLst>
        </c:ser>
        <c:ser>
          <c:idx val="1"/>
          <c:order val="1"/>
          <c:tx>
            <c:strRef>
              <c:f>Sheet2!$C$9</c:f>
              <c:strCache>
                <c:ptCount val="1"/>
                <c:pt idx="0">
                  <c:v>Eddington</c:v>
                </c:pt>
              </c:strCache>
            </c:strRef>
          </c:tx>
          <c:invertIfNegative val="0"/>
          <c:cat>
            <c:numRef>
              <c:f>Sheet2!$E$6:$J$6</c:f>
              <c:numCache>
                <c:formatCode>General</c:formatCode>
                <c:ptCount val="6"/>
                <c:pt idx="0">
                  <c:v>1970</c:v>
                </c:pt>
                <c:pt idx="1">
                  <c:v>1980</c:v>
                </c:pt>
                <c:pt idx="2">
                  <c:v>1990</c:v>
                </c:pt>
                <c:pt idx="3">
                  <c:v>2000</c:v>
                </c:pt>
                <c:pt idx="4">
                  <c:v>2010</c:v>
                </c:pt>
                <c:pt idx="5">
                  <c:v>2015</c:v>
                </c:pt>
              </c:numCache>
            </c:numRef>
          </c:cat>
          <c:val>
            <c:numRef>
              <c:f>Sheet2!$E$10:$J$10</c:f>
              <c:numCache>
                <c:formatCode>0.00%</c:formatCode>
                <c:ptCount val="6"/>
                <c:pt idx="0">
                  <c:v>0.41753653444676397</c:v>
                </c:pt>
                <c:pt idx="1">
                  <c:v>0.30265095729013303</c:v>
                </c:pt>
                <c:pt idx="2">
                  <c:v>0.100621820237422</c:v>
                </c:pt>
                <c:pt idx="3">
                  <c:v>5.3929121725731798E-2</c:v>
                </c:pt>
                <c:pt idx="4">
                  <c:v>8.4307992202728999E-2</c:v>
                </c:pt>
                <c:pt idx="5">
                  <c:v>-1.66292134831461E-2</c:v>
                </c:pt>
              </c:numCache>
            </c:numRef>
          </c:val>
          <c:extLst xmlns:c16r2="http://schemas.microsoft.com/office/drawing/2015/06/chart">
            <c:ext xmlns:c16="http://schemas.microsoft.com/office/drawing/2014/chart" uri="{C3380CC4-5D6E-409C-BE32-E72D297353CC}">
              <c16:uniqueId val="{00000001-2C1C-9C47-B24C-D63487704493}"/>
            </c:ext>
          </c:extLst>
        </c:ser>
        <c:ser>
          <c:idx val="2"/>
          <c:order val="2"/>
          <c:tx>
            <c:strRef>
              <c:f>Sheet2!$C$11</c:f>
              <c:strCache>
                <c:ptCount val="1"/>
                <c:pt idx="0">
                  <c:v>Holden</c:v>
                </c:pt>
              </c:strCache>
            </c:strRef>
          </c:tx>
          <c:invertIfNegative val="0"/>
          <c:cat>
            <c:numRef>
              <c:f>Sheet2!$E$6:$J$6</c:f>
              <c:numCache>
                <c:formatCode>General</c:formatCode>
                <c:ptCount val="6"/>
                <c:pt idx="0">
                  <c:v>1970</c:v>
                </c:pt>
                <c:pt idx="1">
                  <c:v>1980</c:v>
                </c:pt>
                <c:pt idx="2">
                  <c:v>1990</c:v>
                </c:pt>
                <c:pt idx="3">
                  <c:v>2000</c:v>
                </c:pt>
                <c:pt idx="4">
                  <c:v>2010</c:v>
                </c:pt>
                <c:pt idx="5">
                  <c:v>2015</c:v>
                </c:pt>
              </c:numCache>
            </c:numRef>
          </c:cat>
          <c:val>
            <c:numRef>
              <c:f>Sheet2!$E$12:$J$12</c:f>
              <c:numCache>
                <c:formatCode>0.00%</c:formatCode>
                <c:ptCount val="6"/>
                <c:pt idx="0">
                  <c:v>0.33890909090909099</c:v>
                </c:pt>
                <c:pt idx="1">
                  <c:v>0.38728951656708299</c:v>
                </c:pt>
                <c:pt idx="2">
                  <c:v>0.15544244322631201</c:v>
                </c:pt>
                <c:pt idx="3">
                  <c:v>-4.20196543544561E-2</c:v>
                </c:pt>
                <c:pt idx="4">
                  <c:v>8.8079235939158201E-2</c:v>
                </c:pt>
                <c:pt idx="5">
                  <c:v>1.3003901170351999E-3</c:v>
                </c:pt>
              </c:numCache>
            </c:numRef>
          </c:val>
          <c:extLst xmlns:c16r2="http://schemas.microsoft.com/office/drawing/2015/06/chart">
            <c:ext xmlns:c16="http://schemas.microsoft.com/office/drawing/2014/chart" uri="{C3380CC4-5D6E-409C-BE32-E72D297353CC}">
              <c16:uniqueId val="{00000002-2C1C-9C47-B24C-D63487704493}"/>
            </c:ext>
          </c:extLst>
        </c:ser>
        <c:ser>
          <c:idx val="3"/>
          <c:order val="3"/>
          <c:tx>
            <c:strRef>
              <c:f>Sheet2!$C$15</c:f>
              <c:strCache>
                <c:ptCount val="1"/>
                <c:pt idx="0">
                  <c:v>Amherst</c:v>
                </c:pt>
              </c:strCache>
            </c:strRef>
          </c:tx>
          <c:invertIfNegative val="0"/>
          <c:cat>
            <c:numRef>
              <c:f>Sheet2!$E$6:$J$6</c:f>
              <c:numCache>
                <c:formatCode>General</c:formatCode>
                <c:ptCount val="6"/>
                <c:pt idx="0">
                  <c:v>1970</c:v>
                </c:pt>
                <c:pt idx="1">
                  <c:v>1980</c:v>
                </c:pt>
                <c:pt idx="2">
                  <c:v>1990</c:v>
                </c:pt>
                <c:pt idx="3">
                  <c:v>2000</c:v>
                </c:pt>
                <c:pt idx="4">
                  <c:v>2010</c:v>
                </c:pt>
                <c:pt idx="5">
                  <c:v>2015</c:v>
                </c:pt>
              </c:numCache>
            </c:numRef>
          </c:cat>
          <c:val>
            <c:numRef>
              <c:f>Sheet2!$E$16:$J$16</c:f>
              <c:numCache>
                <c:formatCode>0.00%</c:formatCode>
                <c:ptCount val="6"/>
                <c:pt idx="0">
                  <c:v>-0.119047619047619</c:v>
                </c:pt>
                <c:pt idx="1">
                  <c:v>0.37162162162162199</c:v>
                </c:pt>
                <c:pt idx="2">
                  <c:v>2.4630541871921301E-2</c:v>
                </c:pt>
                <c:pt idx="3">
                  <c:v>0.105769230769231</c:v>
                </c:pt>
                <c:pt idx="4">
                  <c:v>0.15217391304347799</c:v>
                </c:pt>
                <c:pt idx="5">
                  <c:v>-0.135849056603774</c:v>
                </c:pt>
              </c:numCache>
            </c:numRef>
          </c:val>
          <c:extLst xmlns:c16r2="http://schemas.microsoft.com/office/drawing/2015/06/chart">
            <c:ext xmlns:c16="http://schemas.microsoft.com/office/drawing/2014/chart" uri="{C3380CC4-5D6E-409C-BE32-E72D297353CC}">
              <c16:uniqueId val="{00000003-2C1C-9C47-B24C-D63487704493}"/>
            </c:ext>
          </c:extLst>
        </c:ser>
        <c:ser>
          <c:idx val="4"/>
          <c:order val="4"/>
          <c:tx>
            <c:strRef>
              <c:f>Sheet2!$C$17</c:f>
              <c:strCache>
                <c:ptCount val="1"/>
                <c:pt idx="0">
                  <c:v>Otis</c:v>
                </c:pt>
              </c:strCache>
            </c:strRef>
          </c:tx>
          <c:invertIfNegative val="0"/>
          <c:cat>
            <c:numRef>
              <c:f>Sheet2!$E$6:$J$6</c:f>
              <c:numCache>
                <c:formatCode>General</c:formatCode>
                <c:ptCount val="6"/>
                <c:pt idx="0">
                  <c:v>1970</c:v>
                </c:pt>
                <c:pt idx="1">
                  <c:v>1980</c:v>
                </c:pt>
                <c:pt idx="2">
                  <c:v>1990</c:v>
                </c:pt>
                <c:pt idx="3">
                  <c:v>2000</c:v>
                </c:pt>
                <c:pt idx="4">
                  <c:v>2010</c:v>
                </c:pt>
                <c:pt idx="5">
                  <c:v>2015</c:v>
                </c:pt>
              </c:numCache>
            </c:numRef>
          </c:cat>
          <c:val>
            <c:numRef>
              <c:f>Sheet2!$E$18:$J$18</c:f>
              <c:numCache>
                <c:formatCode>0.00%</c:formatCode>
                <c:ptCount val="6"/>
                <c:pt idx="0">
                  <c:v>0.23</c:v>
                </c:pt>
                <c:pt idx="1">
                  <c:v>1.4959349593495941</c:v>
                </c:pt>
                <c:pt idx="2">
                  <c:v>0.156351791530945</c:v>
                </c:pt>
                <c:pt idx="3">
                  <c:v>0.52957746478873202</c:v>
                </c:pt>
                <c:pt idx="4">
                  <c:v>0.237569060773481</c:v>
                </c:pt>
                <c:pt idx="5">
                  <c:v>0.15327380952381001</c:v>
                </c:pt>
              </c:numCache>
            </c:numRef>
          </c:val>
          <c:extLst xmlns:c16r2="http://schemas.microsoft.com/office/drawing/2015/06/chart">
            <c:ext xmlns:c16="http://schemas.microsoft.com/office/drawing/2014/chart" uri="{C3380CC4-5D6E-409C-BE32-E72D297353CC}">
              <c16:uniqueId val="{00000004-2C1C-9C47-B24C-D63487704493}"/>
            </c:ext>
          </c:extLst>
        </c:ser>
        <c:dLbls>
          <c:showLegendKey val="0"/>
          <c:showVal val="0"/>
          <c:showCatName val="0"/>
          <c:showSerName val="0"/>
          <c:showPercent val="0"/>
          <c:showBubbleSize val="0"/>
        </c:dLbls>
        <c:gapWidth val="150"/>
        <c:axId val="107803776"/>
        <c:axId val="107805312"/>
      </c:barChart>
      <c:catAx>
        <c:axId val="107803776"/>
        <c:scaling>
          <c:orientation val="minMax"/>
        </c:scaling>
        <c:delete val="0"/>
        <c:axPos val="b"/>
        <c:numFmt formatCode="General" sourceLinked="1"/>
        <c:majorTickMark val="out"/>
        <c:minorTickMark val="none"/>
        <c:tickLblPos val="nextTo"/>
        <c:txPr>
          <a:bodyPr/>
          <a:lstStyle/>
          <a:p>
            <a:pPr>
              <a:defRPr sz="1000" b="1">
                <a:latin typeface="+mj-lt"/>
              </a:defRPr>
            </a:pPr>
            <a:endParaRPr lang="en-US"/>
          </a:p>
        </c:txPr>
        <c:crossAx val="107805312"/>
        <c:crosses val="autoZero"/>
        <c:auto val="1"/>
        <c:lblAlgn val="ctr"/>
        <c:lblOffset val="100"/>
        <c:noMultiLvlLbl val="0"/>
      </c:catAx>
      <c:valAx>
        <c:axId val="107805312"/>
        <c:scaling>
          <c:orientation val="minMax"/>
        </c:scaling>
        <c:delete val="0"/>
        <c:axPos val="l"/>
        <c:majorGridlines/>
        <c:numFmt formatCode="0.00%" sourceLinked="1"/>
        <c:majorTickMark val="out"/>
        <c:minorTickMark val="none"/>
        <c:tickLblPos val="nextTo"/>
        <c:txPr>
          <a:bodyPr/>
          <a:lstStyle/>
          <a:p>
            <a:pPr>
              <a:defRPr>
                <a:latin typeface="+mj-lt"/>
              </a:defRPr>
            </a:pPr>
            <a:endParaRPr lang="en-US"/>
          </a:p>
        </c:txPr>
        <c:crossAx val="107803776"/>
        <c:crosses val="autoZero"/>
        <c:crossBetween val="between"/>
      </c:valAx>
    </c:plotArea>
    <c:legend>
      <c:legendPos val="r"/>
      <c:overlay val="0"/>
      <c:txPr>
        <a:bodyPr/>
        <a:lstStyle/>
        <a:p>
          <a:pPr>
            <a:defRPr>
              <a:latin typeface="+mj-lt"/>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latin typeface="+mj-lt"/>
              </a:defRPr>
            </a:pPr>
            <a:r>
              <a:rPr lang="en-US" sz="1200">
                <a:latin typeface="+mj-lt"/>
              </a:rPr>
              <a:t>25 YEAR</a:t>
            </a:r>
            <a:r>
              <a:rPr lang="en-US" sz="1200" baseline="0">
                <a:latin typeface="+mj-lt"/>
              </a:rPr>
              <a:t> AGE DEMOGRAPHIC TRENDS</a:t>
            </a:r>
            <a:endParaRPr lang="en-US" sz="1200">
              <a:latin typeface="+mj-lt"/>
            </a:endParaRPr>
          </a:p>
        </c:rich>
      </c:tx>
      <c:overlay val="0"/>
    </c:title>
    <c:autoTitleDeleted val="0"/>
    <c:plotArea>
      <c:layout/>
      <c:barChart>
        <c:barDir val="col"/>
        <c:grouping val="clustered"/>
        <c:varyColors val="0"/>
        <c:ser>
          <c:idx val="0"/>
          <c:order val="0"/>
          <c:tx>
            <c:v>1990-2000</c:v>
          </c:tx>
          <c:invertIfNegative val="0"/>
          <c:cat>
            <c:strRef>
              <c:f>Sheet2!$W$16:$W$28</c:f>
              <c:strCache>
                <c:ptCount val="13"/>
                <c:pt idx="0">
                  <c:v>Under 5</c:v>
                </c:pt>
                <c:pt idx="1">
                  <c:v>5 to 9</c:v>
                </c:pt>
                <c:pt idx="2">
                  <c:v>10 to 14</c:v>
                </c:pt>
                <c:pt idx="3">
                  <c:v>15 to 19</c:v>
                </c:pt>
                <c:pt idx="4">
                  <c:v>20 to 24</c:v>
                </c:pt>
                <c:pt idx="5">
                  <c:v>25 to 34</c:v>
                </c:pt>
                <c:pt idx="6">
                  <c:v>35 to 44</c:v>
                </c:pt>
                <c:pt idx="7">
                  <c:v>45 to 54</c:v>
                </c:pt>
                <c:pt idx="8">
                  <c:v>55 to 59</c:v>
                </c:pt>
                <c:pt idx="9">
                  <c:v>60 to 64</c:v>
                </c:pt>
                <c:pt idx="10">
                  <c:v>65 to 74</c:v>
                </c:pt>
                <c:pt idx="11">
                  <c:v>75+</c:v>
                </c:pt>
                <c:pt idx="12">
                  <c:v>Median Age</c:v>
                </c:pt>
              </c:strCache>
            </c:strRef>
          </c:cat>
          <c:val>
            <c:numRef>
              <c:f>Sheet2!$Y$16:$Y$28</c:f>
              <c:numCache>
                <c:formatCode>0.0%</c:formatCode>
                <c:ptCount val="13"/>
                <c:pt idx="0">
                  <c:v>8.3333333333333301E-2</c:v>
                </c:pt>
                <c:pt idx="1">
                  <c:v>-5.7692307692307702E-2</c:v>
                </c:pt>
                <c:pt idx="2">
                  <c:v>0.32608695652173902</c:v>
                </c:pt>
                <c:pt idx="3">
                  <c:v>0.91666666666666696</c:v>
                </c:pt>
                <c:pt idx="4">
                  <c:v>-0.232558139534884</c:v>
                </c:pt>
                <c:pt idx="5">
                  <c:v>-7.69230769230769E-2</c:v>
                </c:pt>
                <c:pt idx="6">
                  <c:v>0.680851063829787</c:v>
                </c:pt>
                <c:pt idx="7">
                  <c:v>0.19512195121951201</c:v>
                </c:pt>
                <c:pt idx="8">
                  <c:v>-4.6511627906976702E-2</c:v>
                </c:pt>
                <c:pt idx="9">
                  <c:v>0.55555555555555602</c:v>
                </c:pt>
                <c:pt idx="10">
                  <c:v>0.3125</c:v>
                </c:pt>
                <c:pt idx="11">
                  <c:v>1.166666666666667</c:v>
                </c:pt>
                <c:pt idx="12">
                  <c:v>9.6774193548386997E-2</c:v>
                </c:pt>
              </c:numCache>
            </c:numRef>
          </c:val>
          <c:extLst xmlns:c16r2="http://schemas.microsoft.com/office/drawing/2015/06/chart">
            <c:ext xmlns:c16="http://schemas.microsoft.com/office/drawing/2014/chart" uri="{C3380CC4-5D6E-409C-BE32-E72D297353CC}">
              <c16:uniqueId val="{00000000-0658-7E46-AAE8-2246EB4FF3B9}"/>
            </c:ext>
          </c:extLst>
        </c:ser>
        <c:ser>
          <c:idx val="1"/>
          <c:order val="1"/>
          <c:tx>
            <c:v>2000-2010</c:v>
          </c:tx>
          <c:invertIfNegative val="0"/>
          <c:cat>
            <c:strRef>
              <c:f>Sheet2!$W$16:$W$28</c:f>
              <c:strCache>
                <c:ptCount val="13"/>
                <c:pt idx="0">
                  <c:v>Under 5</c:v>
                </c:pt>
                <c:pt idx="1">
                  <c:v>5 to 9</c:v>
                </c:pt>
                <c:pt idx="2">
                  <c:v>10 to 14</c:v>
                </c:pt>
                <c:pt idx="3">
                  <c:v>15 to 19</c:v>
                </c:pt>
                <c:pt idx="4">
                  <c:v>20 to 24</c:v>
                </c:pt>
                <c:pt idx="5">
                  <c:v>25 to 34</c:v>
                </c:pt>
                <c:pt idx="6">
                  <c:v>35 to 44</c:v>
                </c:pt>
                <c:pt idx="7">
                  <c:v>45 to 54</c:v>
                </c:pt>
                <c:pt idx="8">
                  <c:v>55 to 59</c:v>
                </c:pt>
                <c:pt idx="9">
                  <c:v>60 to 64</c:v>
                </c:pt>
                <c:pt idx="10">
                  <c:v>65 to 74</c:v>
                </c:pt>
                <c:pt idx="11">
                  <c:v>75+</c:v>
                </c:pt>
                <c:pt idx="12">
                  <c:v>Median Age</c:v>
                </c:pt>
              </c:strCache>
            </c:strRef>
          </c:cat>
          <c:val>
            <c:numRef>
              <c:f>Sheet2!$AA$16:$AA$28</c:f>
              <c:numCache>
                <c:formatCode>0.0%</c:formatCode>
                <c:ptCount val="13"/>
                <c:pt idx="0">
                  <c:v>0.17948717948717899</c:v>
                </c:pt>
                <c:pt idx="1">
                  <c:v>0.122448979591837</c:v>
                </c:pt>
                <c:pt idx="2">
                  <c:v>0.37704918032786899</c:v>
                </c:pt>
                <c:pt idx="3">
                  <c:v>0.32608695652173902</c:v>
                </c:pt>
                <c:pt idx="4">
                  <c:v>0.15151515151515199</c:v>
                </c:pt>
                <c:pt idx="5">
                  <c:v>-4.6296296296296301E-2</c:v>
                </c:pt>
                <c:pt idx="6">
                  <c:v>-0.170886075949367</c:v>
                </c:pt>
                <c:pt idx="7">
                  <c:v>0.97959183673469397</c:v>
                </c:pt>
                <c:pt idx="8">
                  <c:v>0.51219512195121997</c:v>
                </c:pt>
                <c:pt idx="9">
                  <c:v>0.30952380952380898</c:v>
                </c:pt>
                <c:pt idx="10">
                  <c:v>0.35714285714285698</c:v>
                </c:pt>
                <c:pt idx="11">
                  <c:v>0.34615384615384598</c:v>
                </c:pt>
                <c:pt idx="12">
                  <c:v>9.8930481283422494E-2</c:v>
                </c:pt>
              </c:numCache>
            </c:numRef>
          </c:val>
          <c:extLst xmlns:c16r2="http://schemas.microsoft.com/office/drawing/2015/06/chart">
            <c:ext xmlns:c16="http://schemas.microsoft.com/office/drawing/2014/chart" uri="{C3380CC4-5D6E-409C-BE32-E72D297353CC}">
              <c16:uniqueId val="{00000001-0658-7E46-AAE8-2246EB4FF3B9}"/>
            </c:ext>
          </c:extLst>
        </c:ser>
        <c:ser>
          <c:idx val="2"/>
          <c:order val="2"/>
          <c:tx>
            <c:v>2010-2015</c:v>
          </c:tx>
          <c:invertIfNegative val="0"/>
          <c:cat>
            <c:strRef>
              <c:f>Sheet2!$W$16:$W$28</c:f>
              <c:strCache>
                <c:ptCount val="13"/>
                <c:pt idx="0">
                  <c:v>Under 5</c:v>
                </c:pt>
                <c:pt idx="1">
                  <c:v>5 to 9</c:v>
                </c:pt>
                <c:pt idx="2">
                  <c:v>10 to 14</c:v>
                </c:pt>
                <c:pt idx="3">
                  <c:v>15 to 19</c:v>
                </c:pt>
                <c:pt idx="4">
                  <c:v>20 to 24</c:v>
                </c:pt>
                <c:pt idx="5">
                  <c:v>25 to 34</c:v>
                </c:pt>
                <c:pt idx="6">
                  <c:v>35 to 44</c:v>
                </c:pt>
                <c:pt idx="7">
                  <c:v>45 to 54</c:v>
                </c:pt>
                <c:pt idx="8">
                  <c:v>55 to 59</c:v>
                </c:pt>
                <c:pt idx="9">
                  <c:v>60 to 64</c:v>
                </c:pt>
                <c:pt idx="10">
                  <c:v>65 to 74</c:v>
                </c:pt>
                <c:pt idx="11">
                  <c:v>75+</c:v>
                </c:pt>
                <c:pt idx="12">
                  <c:v>Median Age</c:v>
                </c:pt>
              </c:strCache>
            </c:strRef>
          </c:cat>
          <c:val>
            <c:numRef>
              <c:f>Sheet2!$AC$16:$AC$28</c:f>
              <c:numCache>
                <c:formatCode>0.0%</c:formatCode>
                <c:ptCount val="13"/>
                <c:pt idx="0">
                  <c:v>-0.30434782608695599</c:v>
                </c:pt>
                <c:pt idx="1">
                  <c:v>-0.236363636363636</c:v>
                </c:pt>
                <c:pt idx="2">
                  <c:v>-0.51190476190476197</c:v>
                </c:pt>
                <c:pt idx="3">
                  <c:v>8.1967213114754106E-2</c:v>
                </c:pt>
                <c:pt idx="4">
                  <c:v>5.2631578947368397E-2</c:v>
                </c:pt>
                <c:pt idx="5">
                  <c:v>-0.34951456310679602</c:v>
                </c:pt>
                <c:pt idx="6">
                  <c:v>-0.34351145038167902</c:v>
                </c:pt>
                <c:pt idx="7">
                  <c:v>-0.13917525773195899</c:v>
                </c:pt>
                <c:pt idx="8">
                  <c:v>-0.17741935483870999</c:v>
                </c:pt>
                <c:pt idx="9">
                  <c:v>-0.36363636363636398</c:v>
                </c:pt>
                <c:pt idx="10">
                  <c:v>0.82456140350877205</c:v>
                </c:pt>
                <c:pt idx="11">
                  <c:v>0.28571428571428598</c:v>
                </c:pt>
                <c:pt idx="12">
                  <c:v>0.121654501216545</c:v>
                </c:pt>
              </c:numCache>
            </c:numRef>
          </c:val>
          <c:extLst xmlns:c16r2="http://schemas.microsoft.com/office/drawing/2015/06/chart">
            <c:ext xmlns:c16="http://schemas.microsoft.com/office/drawing/2014/chart" uri="{C3380CC4-5D6E-409C-BE32-E72D297353CC}">
              <c16:uniqueId val="{00000002-0658-7E46-AAE8-2246EB4FF3B9}"/>
            </c:ext>
          </c:extLst>
        </c:ser>
        <c:dLbls>
          <c:showLegendKey val="0"/>
          <c:showVal val="0"/>
          <c:showCatName val="0"/>
          <c:showSerName val="0"/>
          <c:showPercent val="0"/>
          <c:showBubbleSize val="0"/>
        </c:dLbls>
        <c:gapWidth val="150"/>
        <c:axId val="107038208"/>
        <c:axId val="107039744"/>
      </c:barChart>
      <c:catAx>
        <c:axId val="107038208"/>
        <c:scaling>
          <c:orientation val="minMax"/>
        </c:scaling>
        <c:delete val="0"/>
        <c:axPos val="b"/>
        <c:numFmt formatCode="General" sourceLinked="0"/>
        <c:majorTickMark val="out"/>
        <c:minorTickMark val="none"/>
        <c:tickLblPos val="nextTo"/>
        <c:txPr>
          <a:bodyPr/>
          <a:lstStyle/>
          <a:p>
            <a:pPr>
              <a:defRPr>
                <a:latin typeface="+mj-lt"/>
              </a:defRPr>
            </a:pPr>
            <a:endParaRPr lang="en-US"/>
          </a:p>
        </c:txPr>
        <c:crossAx val="107039744"/>
        <c:crosses val="autoZero"/>
        <c:auto val="1"/>
        <c:lblAlgn val="ctr"/>
        <c:lblOffset val="100"/>
        <c:noMultiLvlLbl val="0"/>
      </c:catAx>
      <c:valAx>
        <c:axId val="107039744"/>
        <c:scaling>
          <c:orientation val="minMax"/>
        </c:scaling>
        <c:delete val="0"/>
        <c:axPos val="l"/>
        <c:majorGridlines/>
        <c:numFmt formatCode="0.0%" sourceLinked="1"/>
        <c:majorTickMark val="out"/>
        <c:minorTickMark val="none"/>
        <c:tickLblPos val="nextTo"/>
        <c:txPr>
          <a:bodyPr/>
          <a:lstStyle/>
          <a:p>
            <a:pPr>
              <a:defRPr>
                <a:latin typeface="+mj-lt"/>
              </a:defRPr>
            </a:pPr>
            <a:endParaRPr lang="en-US"/>
          </a:p>
        </c:txPr>
        <c:crossAx val="107038208"/>
        <c:crosses val="autoZero"/>
        <c:crossBetween val="between"/>
      </c:valAx>
    </c:plotArea>
    <c:legend>
      <c:legendPos val="r"/>
      <c:overlay val="0"/>
      <c:txPr>
        <a:bodyPr/>
        <a:lstStyle/>
        <a:p>
          <a:pPr>
            <a:defRPr>
              <a:latin typeface="+mj-lt"/>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latin typeface="+mj-lt"/>
              </a:defRPr>
            </a:pPr>
            <a:r>
              <a:rPr lang="en-US" sz="1200">
                <a:latin typeface="+mj-lt"/>
              </a:rPr>
              <a:t>Seasonal Dwelling Trends</a:t>
            </a:r>
          </a:p>
        </c:rich>
      </c:tx>
      <c:layout>
        <c:manualLayout>
          <c:xMode val="edge"/>
          <c:yMode val="edge"/>
          <c:x val="0.31171185277976599"/>
          <c:y val="3.6529680365296802E-2"/>
        </c:manualLayout>
      </c:layout>
      <c:overlay val="0"/>
    </c:title>
    <c:autoTitleDeleted val="0"/>
    <c:plotArea>
      <c:layout/>
      <c:barChart>
        <c:barDir val="col"/>
        <c:grouping val="clustered"/>
        <c:varyColors val="0"/>
        <c:ser>
          <c:idx val="0"/>
          <c:order val="0"/>
          <c:tx>
            <c:v>1990 % Seasonal</c:v>
          </c:tx>
          <c:invertIfNegative val="0"/>
          <c:cat>
            <c:strRef>
              <c:f>Sheet3!$G$10:$G$17</c:f>
              <c:strCache>
                <c:ptCount val="8"/>
                <c:pt idx="0">
                  <c:v>Clifton</c:v>
                </c:pt>
                <c:pt idx="1">
                  <c:v>Eddington</c:v>
                </c:pt>
                <c:pt idx="2">
                  <c:v>Holden</c:v>
                </c:pt>
                <c:pt idx="3">
                  <c:v>Penobscot County</c:v>
                </c:pt>
                <c:pt idx="4">
                  <c:v>Amherst</c:v>
                </c:pt>
                <c:pt idx="5">
                  <c:v>Otis</c:v>
                </c:pt>
                <c:pt idx="6">
                  <c:v>Hancock County</c:v>
                </c:pt>
                <c:pt idx="7">
                  <c:v>Maine</c:v>
                </c:pt>
              </c:strCache>
            </c:strRef>
          </c:cat>
          <c:val>
            <c:numRef>
              <c:f>Sheet3!$J$10:$J$17</c:f>
              <c:numCache>
                <c:formatCode>0.0%</c:formatCode>
                <c:ptCount val="8"/>
                <c:pt idx="0">
                  <c:v>0.30133333333333301</c:v>
                </c:pt>
                <c:pt idx="1">
                  <c:v>7.5919335705812593E-2</c:v>
                </c:pt>
                <c:pt idx="2">
                  <c:v>0.10052513128282101</c:v>
                </c:pt>
                <c:pt idx="3">
                  <c:v>6.5809416711484894E-2</c:v>
                </c:pt>
                <c:pt idx="4">
                  <c:v>0.281481481481481</c:v>
                </c:pt>
                <c:pt idx="5">
                  <c:v>0.77128547579298801</c:v>
                </c:pt>
                <c:pt idx="6">
                  <c:v>0.33346492959599899</c:v>
                </c:pt>
                <c:pt idx="7">
                  <c:v>0.14996976381708399</c:v>
                </c:pt>
              </c:numCache>
            </c:numRef>
          </c:val>
          <c:extLst xmlns:c16r2="http://schemas.microsoft.com/office/drawing/2015/06/chart">
            <c:ext xmlns:c16="http://schemas.microsoft.com/office/drawing/2014/chart" uri="{C3380CC4-5D6E-409C-BE32-E72D297353CC}">
              <c16:uniqueId val="{00000000-7DF4-1444-A921-ECA344A09A61}"/>
            </c:ext>
          </c:extLst>
        </c:ser>
        <c:ser>
          <c:idx val="1"/>
          <c:order val="1"/>
          <c:tx>
            <c:v>2000 % Seasonal</c:v>
          </c:tx>
          <c:invertIfNegative val="0"/>
          <c:cat>
            <c:strRef>
              <c:f>Sheet3!$G$10:$G$17</c:f>
              <c:strCache>
                <c:ptCount val="8"/>
                <c:pt idx="0">
                  <c:v>Clifton</c:v>
                </c:pt>
                <c:pt idx="1">
                  <c:v>Eddington</c:v>
                </c:pt>
                <c:pt idx="2">
                  <c:v>Holden</c:v>
                </c:pt>
                <c:pt idx="3">
                  <c:v>Penobscot County</c:v>
                </c:pt>
                <c:pt idx="4">
                  <c:v>Amherst</c:v>
                </c:pt>
                <c:pt idx="5">
                  <c:v>Otis</c:v>
                </c:pt>
                <c:pt idx="6">
                  <c:v>Hancock County</c:v>
                </c:pt>
                <c:pt idx="7">
                  <c:v>Maine</c:v>
                </c:pt>
              </c:strCache>
            </c:strRef>
          </c:cat>
          <c:val>
            <c:numRef>
              <c:f>Sheet3!$N$10:$N$17</c:f>
              <c:numCache>
                <c:formatCode>0.0%</c:formatCode>
                <c:ptCount val="8"/>
                <c:pt idx="0">
                  <c:v>0.237980769230769</c:v>
                </c:pt>
                <c:pt idx="1">
                  <c:v>6.1956521739130403E-2</c:v>
                </c:pt>
                <c:pt idx="2">
                  <c:v>8.5606060606060602E-2</c:v>
                </c:pt>
                <c:pt idx="3">
                  <c:v>7.4229209986985206E-2</c:v>
                </c:pt>
                <c:pt idx="4">
                  <c:v>0.18300653594771199</c:v>
                </c:pt>
                <c:pt idx="5">
                  <c:v>0.63569321533923295</c:v>
                </c:pt>
                <c:pt idx="6">
                  <c:v>0.314390926498748</c:v>
                </c:pt>
                <c:pt idx="7">
                  <c:v>0.15565246870307001</c:v>
                </c:pt>
              </c:numCache>
            </c:numRef>
          </c:val>
          <c:extLst xmlns:c16r2="http://schemas.microsoft.com/office/drawing/2015/06/chart">
            <c:ext xmlns:c16="http://schemas.microsoft.com/office/drawing/2014/chart" uri="{C3380CC4-5D6E-409C-BE32-E72D297353CC}">
              <c16:uniqueId val="{00000001-7DF4-1444-A921-ECA344A09A61}"/>
            </c:ext>
          </c:extLst>
        </c:ser>
        <c:ser>
          <c:idx val="2"/>
          <c:order val="2"/>
          <c:tx>
            <c:v>2010 % Seasonal</c:v>
          </c:tx>
          <c:invertIfNegative val="0"/>
          <c:cat>
            <c:strRef>
              <c:f>Sheet3!$G$10:$G$17</c:f>
              <c:strCache>
                <c:ptCount val="8"/>
                <c:pt idx="0">
                  <c:v>Clifton</c:v>
                </c:pt>
                <c:pt idx="1">
                  <c:v>Eddington</c:v>
                </c:pt>
                <c:pt idx="2">
                  <c:v>Holden</c:v>
                </c:pt>
                <c:pt idx="3">
                  <c:v>Penobscot County</c:v>
                </c:pt>
                <c:pt idx="4">
                  <c:v>Amherst</c:v>
                </c:pt>
                <c:pt idx="5">
                  <c:v>Otis</c:v>
                </c:pt>
                <c:pt idx="6">
                  <c:v>Hancock County</c:v>
                </c:pt>
                <c:pt idx="7">
                  <c:v>Maine</c:v>
                </c:pt>
              </c:strCache>
            </c:strRef>
          </c:cat>
          <c:val>
            <c:numRef>
              <c:f>Sheet3!$R$10:$R$17</c:f>
              <c:numCache>
                <c:formatCode>0.0%</c:formatCode>
                <c:ptCount val="8"/>
                <c:pt idx="0">
                  <c:v>0.200854700854701</c:v>
                </c:pt>
                <c:pt idx="1">
                  <c:v>5.4966248794599798E-2</c:v>
                </c:pt>
                <c:pt idx="2">
                  <c:v>8.2432432432432395E-2</c:v>
                </c:pt>
                <c:pt idx="3">
                  <c:v>8.3929054968859995E-2</c:v>
                </c:pt>
                <c:pt idx="4">
                  <c:v>0.21264367816092</c:v>
                </c:pt>
                <c:pt idx="5">
                  <c:v>0.54838709677419295</c:v>
                </c:pt>
                <c:pt idx="6">
                  <c:v>0.326846506072068</c:v>
                </c:pt>
                <c:pt idx="7">
                  <c:v>0.16390285801366</c:v>
                </c:pt>
              </c:numCache>
            </c:numRef>
          </c:val>
          <c:extLst xmlns:c16r2="http://schemas.microsoft.com/office/drawing/2015/06/chart">
            <c:ext xmlns:c16="http://schemas.microsoft.com/office/drawing/2014/chart" uri="{C3380CC4-5D6E-409C-BE32-E72D297353CC}">
              <c16:uniqueId val="{00000002-7DF4-1444-A921-ECA344A09A61}"/>
            </c:ext>
          </c:extLst>
        </c:ser>
        <c:dLbls>
          <c:showLegendKey val="0"/>
          <c:showVal val="0"/>
          <c:showCatName val="0"/>
          <c:showSerName val="0"/>
          <c:showPercent val="0"/>
          <c:showBubbleSize val="0"/>
        </c:dLbls>
        <c:gapWidth val="150"/>
        <c:axId val="107050880"/>
        <c:axId val="107052416"/>
      </c:barChart>
      <c:catAx>
        <c:axId val="107050880"/>
        <c:scaling>
          <c:orientation val="minMax"/>
        </c:scaling>
        <c:delete val="0"/>
        <c:axPos val="b"/>
        <c:numFmt formatCode="General" sourceLinked="0"/>
        <c:majorTickMark val="out"/>
        <c:minorTickMark val="none"/>
        <c:tickLblPos val="nextTo"/>
        <c:txPr>
          <a:bodyPr/>
          <a:lstStyle/>
          <a:p>
            <a:pPr>
              <a:defRPr>
                <a:latin typeface="+mj-lt"/>
              </a:defRPr>
            </a:pPr>
            <a:endParaRPr lang="en-US"/>
          </a:p>
        </c:txPr>
        <c:crossAx val="107052416"/>
        <c:crosses val="autoZero"/>
        <c:auto val="1"/>
        <c:lblAlgn val="ctr"/>
        <c:lblOffset val="100"/>
        <c:noMultiLvlLbl val="0"/>
      </c:catAx>
      <c:valAx>
        <c:axId val="107052416"/>
        <c:scaling>
          <c:orientation val="minMax"/>
        </c:scaling>
        <c:delete val="0"/>
        <c:axPos val="l"/>
        <c:majorGridlines/>
        <c:numFmt formatCode="0.0%" sourceLinked="1"/>
        <c:majorTickMark val="out"/>
        <c:minorTickMark val="none"/>
        <c:tickLblPos val="nextTo"/>
        <c:txPr>
          <a:bodyPr/>
          <a:lstStyle/>
          <a:p>
            <a:pPr>
              <a:defRPr>
                <a:latin typeface="+mj-lt"/>
              </a:defRPr>
            </a:pPr>
            <a:endParaRPr lang="en-US"/>
          </a:p>
        </c:txPr>
        <c:crossAx val="107050880"/>
        <c:crosses val="autoZero"/>
        <c:crossBetween val="between"/>
      </c:valAx>
    </c:plotArea>
    <c:legend>
      <c:legendPos val="r"/>
      <c:overlay val="0"/>
      <c:txPr>
        <a:bodyPr/>
        <a:lstStyle/>
        <a:p>
          <a:pPr>
            <a:defRPr>
              <a:latin typeface="+mj-lt"/>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796B-F828-4CD2-825B-C4C1850C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Johns family</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Eric Johns</dc:creator>
  <cp:lastModifiedBy>Bruce</cp:lastModifiedBy>
  <cp:revision>2</cp:revision>
  <dcterms:created xsi:type="dcterms:W3CDTF">2021-03-03T16:26:00Z</dcterms:created>
  <dcterms:modified xsi:type="dcterms:W3CDTF">2021-03-03T16:26:00Z</dcterms:modified>
</cp:coreProperties>
</file>