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A57AC" w14:textId="7E30A293" w:rsidR="007E2A80" w:rsidRDefault="007E2A80" w:rsidP="00024B44">
      <w:pPr>
        <w:widowControl w:val="0"/>
        <w:spacing w:after="120"/>
        <w:rPr>
          <w:b/>
          <w:u w:val="single"/>
        </w:rPr>
      </w:pPr>
      <w:bookmarkStart w:id="0" w:name="_GoBack"/>
      <w:bookmarkEnd w:id="0"/>
      <w:r w:rsidRPr="00C67EC0">
        <w:rPr>
          <w:b/>
          <w:u w:val="single"/>
        </w:rPr>
        <w:t>STATE GOAL</w:t>
      </w:r>
    </w:p>
    <w:p w14:paraId="6962F696" w14:textId="149AC298" w:rsidR="000E3B58" w:rsidRDefault="000E3B58" w:rsidP="00AA67A4">
      <w:pPr>
        <w:widowControl w:val="0"/>
        <w:spacing w:after="120"/>
        <w:rPr>
          <w:i/>
        </w:rPr>
      </w:pPr>
      <w:r>
        <w:rPr>
          <w:i/>
        </w:rPr>
        <w:t>To plan for, finance and develop an efficient system of public facilities and services to accommodate anticipated growth and economic development.</w:t>
      </w:r>
    </w:p>
    <w:p w14:paraId="49789290" w14:textId="6BF9324A" w:rsidR="001D5457" w:rsidRPr="00111B07" w:rsidRDefault="001D5457" w:rsidP="00AA67A4">
      <w:pPr>
        <w:widowControl w:val="0"/>
        <w:spacing w:after="120"/>
        <w:rPr>
          <w:b/>
          <w:u w:val="single"/>
        </w:rPr>
      </w:pPr>
      <w:r w:rsidRPr="00111B07">
        <w:rPr>
          <w:b/>
          <w:u w:val="single"/>
        </w:rPr>
        <w:t>LOCAL GOAL</w:t>
      </w:r>
      <w:r w:rsidR="002715D7">
        <w:rPr>
          <w:b/>
          <w:u w:val="single"/>
        </w:rPr>
        <w:t>S</w:t>
      </w:r>
    </w:p>
    <w:p w14:paraId="520B268F" w14:textId="77777777" w:rsidR="002715D7" w:rsidRDefault="007F52CC" w:rsidP="00AA67A4">
      <w:pPr>
        <w:widowControl w:val="0"/>
        <w:spacing w:after="120"/>
        <w:rPr>
          <w:i/>
        </w:rPr>
      </w:pPr>
      <w:r>
        <w:rPr>
          <w:i/>
        </w:rPr>
        <w:tab/>
      </w:r>
      <w:r w:rsidR="001D5457">
        <w:rPr>
          <w:i/>
        </w:rPr>
        <w:t xml:space="preserve">Clifton </w:t>
      </w:r>
      <w:r w:rsidR="00D55720">
        <w:rPr>
          <w:i/>
        </w:rPr>
        <w:t>will</w:t>
      </w:r>
      <w:r w:rsidR="000E3B58">
        <w:rPr>
          <w:i/>
        </w:rPr>
        <w:t xml:space="preserve"> work continue to review, budget, and schedule a sustainment program for town roads and supporting infrastructure</w:t>
      </w:r>
      <w:r w:rsidR="00723F6E">
        <w:rPr>
          <w:i/>
        </w:rPr>
        <w:t>.</w:t>
      </w:r>
      <w:r w:rsidR="000E3B58">
        <w:rPr>
          <w:i/>
        </w:rPr>
        <w:t xml:space="preserve">  </w:t>
      </w:r>
    </w:p>
    <w:p w14:paraId="72D64741" w14:textId="0FC657BA" w:rsidR="00D55720" w:rsidRDefault="002715D7" w:rsidP="00AA67A4">
      <w:pPr>
        <w:widowControl w:val="0"/>
        <w:spacing w:after="120"/>
        <w:rPr>
          <w:i/>
        </w:rPr>
      </w:pPr>
      <w:r>
        <w:rPr>
          <w:i/>
        </w:rPr>
        <w:tab/>
      </w:r>
      <w:r w:rsidR="000E3B58">
        <w:rPr>
          <w:i/>
        </w:rPr>
        <w:t xml:space="preserve">Clifton will work with the tax increment financing resources, where authorized or allowed under state law, to </w:t>
      </w:r>
      <w:r w:rsidR="003425D4">
        <w:rPr>
          <w:i/>
        </w:rPr>
        <w:t>accelerate maintenance when possible, in an effort to reduce longer term safety and financial risk.</w:t>
      </w:r>
    </w:p>
    <w:p w14:paraId="5FA57842" w14:textId="4BFB7AD1" w:rsidR="004D1199" w:rsidRDefault="004D1199" w:rsidP="00AA67A4">
      <w:pPr>
        <w:widowControl w:val="0"/>
        <w:spacing w:after="120"/>
        <w:rPr>
          <w:i/>
        </w:rPr>
      </w:pPr>
      <w:r>
        <w:rPr>
          <w:i/>
        </w:rPr>
        <w:tab/>
        <w:t>Clifton will monitor traffic flow increase on the Route 9 corridor and ensure coordination with the Land Use Ordinance, desired economic development, landowners, and town culture.</w:t>
      </w:r>
    </w:p>
    <w:p w14:paraId="47203324" w14:textId="4A2E3C99" w:rsidR="002715D7" w:rsidRDefault="002715D7" w:rsidP="00AA67A4">
      <w:pPr>
        <w:widowControl w:val="0"/>
        <w:spacing w:after="120"/>
        <w:rPr>
          <w:i/>
        </w:rPr>
      </w:pPr>
      <w:r>
        <w:rPr>
          <w:i/>
        </w:rPr>
        <w:tab/>
        <w:t xml:space="preserve">Clifton will evaluate access needs and local financial capacity to assist </w:t>
      </w:r>
      <w:r w:rsidR="00A33D9E">
        <w:rPr>
          <w:i/>
        </w:rPr>
        <w:t>town’s</w:t>
      </w:r>
      <w:r>
        <w:rPr>
          <w:i/>
        </w:rPr>
        <w:t xml:space="preserve"> people in need of transportation access to urban centers.</w:t>
      </w:r>
    </w:p>
    <w:p w14:paraId="4C2B4E0C" w14:textId="6785ADC0" w:rsidR="001537DC" w:rsidRDefault="002A5238" w:rsidP="008255E8">
      <w:pPr>
        <w:widowControl w:val="0"/>
        <w:spacing w:after="120"/>
        <w:rPr>
          <w:b/>
          <w:u w:val="single"/>
        </w:rPr>
      </w:pPr>
      <w:r>
        <w:rPr>
          <w:b/>
          <w:u w:val="single"/>
        </w:rPr>
        <w:t>TRANSPORTATION</w:t>
      </w:r>
      <w:r w:rsidR="00CB7E58">
        <w:rPr>
          <w:b/>
          <w:u w:val="single"/>
        </w:rPr>
        <w:t xml:space="preserve"> SYSTEMS</w:t>
      </w:r>
    </w:p>
    <w:p w14:paraId="3A6388AB" w14:textId="17B7AD98" w:rsidR="00A16DFB" w:rsidRDefault="00A16DFB" w:rsidP="00A16DFB">
      <w:pPr>
        <w:widowControl w:val="0"/>
        <w:spacing w:after="120"/>
      </w:pPr>
      <w:r>
        <w:tab/>
        <w:t>Transportation systems are important in determining the growth and development potential of a town.  Easy accessibility to any area encourages development, whether it is for recreational areas, industrial parks, small businesses, or residences.  When the Town of Clifton first settled, development occurred along carriage paths, tote roads, and suitable terrain.</w:t>
      </w:r>
    </w:p>
    <w:p w14:paraId="177EE5B6" w14:textId="77777777" w:rsidR="00A16DFB" w:rsidRPr="00E708DE" w:rsidRDefault="00A16DFB" w:rsidP="00A16DFB">
      <w:pPr>
        <w:widowControl w:val="0"/>
        <w:spacing w:after="120"/>
        <w:rPr>
          <w:u w:val="single"/>
        </w:rPr>
      </w:pPr>
      <w:r w:rsidRPr="00E708DE">
        <w:rPr>
          <w:u w:val="single"/>
        </w:rPr>
        <w:t>ROAD TYPES</w:t>
      </w:r>
    </w:p>
    <w:p w14:paraId="44DBD199" w14:textId="2EBE4F21" w:rsidR="00C40103" w:rsidRDefault="00C40103" w:rsidP="00C40103">
      <w:pPr>
        <w:widowControl w:val="0"/>
        <w:spacing w:after="120"/>
      </w:pPr>
      <w:r>
        <w:tab/>
      </w:r>
      <w:r w:rsidR="00005E2E">
        <w:t xml:space="preserve">There are seven major classifications of roadways in the United States.  After Interstate and other Freeways or Expressways, the classification of </w:t>
      </w:r>
      <w:r>
        <w:t>Other Principa</w:t>
      </w:r>
      <w:r w:rsidR="00005E2E">
        <w:t>l Arterial is the classification of Route 9, also called the Airline Road</w:t>
      </w:r>
      <w:r w:rsidR="0040733D">
        <w:t xml:space="preserve">.  </w:t>
      </w:r>
      <w:r>
        <w:t xml:space="preserve">There are </w:t>
      </w:r>
      <w:r w:rsidR="0040733D">
        <w:t>nearly one thousand</w:t>
      </w:r>
      <w:r>
        <w:t xml:space="preserve"> miles in Maine and there are two subcategories – rural and urban.</w:t>
      </w:r>
    </w:p>
    <w:p w14:paraId="51F81718" w14:textId="4D031B84" w:rsidR="00C40103" w:rsidRDefault="0040733D" w:rsidP="00C40103">
      <w:pPr>
        <w:widowControl w:val="0"/>
        <w:spacing w:after="120"/>
      </w:pPr>
      <w:r>
        <w:tab/>
        <w:t>Rural indicates c</w:t>
      </w:r>
      <w:r w:rsidR="00C40103">
        <w:t xml:space="preserve">orridor movement suitable for substantial statewide or interstate travel between larger population centers. </w:t>
      </w:r>
      <w:r>
        <w:t xml:space="preserve"> </w:t>
      </w:r>
      <w:r w:rsidR="00C40103">
        <w:t xml:space="preserve">Of the total mileage in the State, there are </w:t>
      </w:r>
      <w:r>
        <w:t xml:space="preserve">about 800 rural miles with a total of 6.55 miles </w:t>
      </w:r>
      <w:r w:rsidR="00C40103">
        <w:t>located in Clifton’s portion of State Route 9</w:t>
      </w:r>
      <w:r>
        <w:t xml:space="preserve">.  Rural Collectors are roads generally serving </w:t>
      </w:r>
      <w:r w:rsidR="00C40103">
        <w:t>primarily intra</w:t>
      </w:r>
      <w:r>
        <w:t>-</w:t>
      </w:r>
      <w:r w:rsidR="00C40103">
        <w:t xml:space="preserve">county </w:t>
      </w:r>
      <w:r>
        <w:t xml:space="preserve">travel </w:t>
      </w:r>
      <w:r w:rsidR="00C40103">
        <w:t xml:space="preserve">rather than statewide </w:t>
      </w:r>
      <w:r>
        <w:t xml:space="preserve">with travel distances </w:t>
      </w:r>
      <w:r w:rsidR="00C40103">
        <w:t>shorter than arterial routes.</w:t>
      </w:r>
    </w:p>
    <w:p w14:paraId="359AD5A7" w14:textId="0ADE794C" w:rsidR="00C40103" w:rsidRDefault="0040733D" w:rsidP="00C40103">
      <w:pPr>
        <w:widowControl w:val="0"/>
        <w:spacing w:after="120"/>
      </w:pPr>
      <w:r>
        <w:tab/>
      </w:r>
      <w:r w:rsidR="00011A68">
        <w:t xml:space="preserve">Consistently spaced with </w:t>
      </w:r>
      <w:r w:rsidR="00C40103">
        <w:t>population density</w:t>
      </w:r>
      <w:r w:rsidR="00011A68">
        <w:t xml:space="preserve">, Minor Collector Roads </w:t>
      </w:r>
      <w:r w:rsidR="00C40103">
        <w:t xml:space="preserve">accommodate local roads within reasonable distance of collector roads. </w:t>
      </w:r>
      <w:r>
        <w:t xml:space="preserve"> They </w:t>
      </w:r>
      <w:r w:rsidR="00011A68">
        <w:rPr>
          <w:i/>
        </w:rPr>
        <w:t>may provide</w:t>
      </w:r>
      <w:r w:rsidR="00011A68">
        <w:t xml:space="preserve"> service between </w:t>
      </w:r>
      <w:r w:rsidR="00C40103">
        <w:t xml:space="preserve">smaller communities. </w:t>
      </w:r>
      <w:r w:rsidR="00011A68">
        <w:t xml:space="preserve"> They are</w:t>
      </w:r>
      <w:r w:rsidR="00C40103">
        <w:t xml:space="preserve"> locally important traffic generators </w:t>
      </w:r>
      <w:r w:rsidR="00011A68">
        <w:t>to an</w:t>
      </w:r>
      <w:r w:rsidR="00C40103">
        <w:t xml:space="preserve"> arterial system. </w:t>
      </w:r>
      <w:r w:rsidR="00011A68">
        <w:t xml:space="preserve"> </w:t>
      </w:r>
      <w:r w:rsidR="00C40103">
        <w:t xml:space="preserve">There are </w:t>
      </w:r>
      <w:r w:rsidR="00011A68">
        <w:t>over 2200</w:t>
      </w:r>
      <w:r w:rsidR="00C40103">
        <w:t xml:space="preserve"> miles of minor collector roads in Maine</w:t>
      </w:r>
      <w:r w:rsidR="00011A68">
        <w:t xml:space="preserve"> of which </w:t>
      </w:r>
      <w:r w:rsidR="00C40103">
        <w:t>Clifton has 5.3</w:t>
      </w:r>
      <w:r w:rsidR="00011A68">
        <w:t>4 miles of minor collector road</w:t>
      </w:r>
      <w:r w:rsidR="00C40103">
        <w:t xml:space="preserve"> </w:t>
      </w:r>
      <w:r w:rsidR="00011A68">
        <w:t xml:space="preserve">as a portion of </w:t>
      </w:r>
      <w:r w:rsidR="00C40103">
        <w:t>State Route 180.</w:t>
      </w:r>
    </w:p>
    <w:p w14:paraId="59A5854B" w14:textId="47A8B7C9" w:rsidR="00C40103" w:rsidRDefault="00011A68" w:rsidP="00C40103">
      <w:pPr>
        <w:widowControl w:val="0"/>
        <w:spacing w:after="120"/>
      </w:pPr>
      <w:r>
        <w:tab/>
      </w:r>
      <w:r w:rsidR="00C40103">
        <w:t xml:space="preserve">Local Roads </w:t>
      </w:r>
      <w:r w:rsidR="00DF143F">
        <w:t>p</w:t>
      </w:r>
      <w:r w:rsidR="00C40103">
        <w:t>rovide access to adjacent land and provide service to travel over relatively short distances as compared to the higher systems.</w:t>
      </w:r>
      <w:r w:rsidR="00DF143F">
        <w:t xml:space="preserve">  </w:t>
      </w:r>
      <w:r w:rsidR="00C40103">
        <w:t xml:space="preserve">Rural Local Roads </w:t>
      </w:r>
      <w:r w:rsidR="00DF143F">
        <w:t>capture</w:t>
      </w:r>
      <w:r w:rsidR="00C40103">
        <w:t xml:space="preserve"> rural roads not classified as principal arterial, minor arterial or collector roads. </w:t>
      </w:r>
      <w:r w:rsidR="00DF143F">
        <w:t xml:space="preserve"> </w:t>
      </w:r>
      <w:r w:rsidR="00C40103">
        <w:t xml:space="preserve">Clifton has 7.45 miles of road designated as local. </w:t>
      </w:r>
      <w:r w:rsidR="00DF143F">
        <w:t xml:space="preserve"> </w:t>
      </w:r>
      <w:r w:rsidR="00C40103">
        <w:t>The Stat</w:t>
      </w:r>
      <w:r w:rsidR="00DF143F">
        <w:t xml:space="preserve">e of Maine has over 12,000 </w:t>
      </w:r>
      <w:r w:rsidR="00C40103">
        <w:t>miles of rural local roads</w:t>
      </w:r>
      <w:r w:rsidR="00DF143F">
        <w:t xml:space="preserve">. </w:t>
      </w:r>
    </w:p>
    <w:p w14:paraId="6B72C759" w14:textId="7093BD23" w:rsidR="00DF143F" w:rsidRDefault="00DF143F" w:rsidP="00602D22">
      <w:pPr>
        <w:widowControl w:val="0"/>
        <w:spacing w:after="120"/>
      </w:pPr>
      <w:r>
        <w:lastRenderedPageBreak/>
        <w:tab/>
        <w:t>Below is a map depicting the classification of various roads in Clifton based upon the definitions above.</w:t>
      </w:r>
      <w:r w:rsidR="00831ADF">
        <w:rPr>
          <w:noProof/>
        </w:rPr>
        <w:drawing>
          <wp:inline distT="0" distB="0" distL="0" distR="0" wp14:anchorId="2F16312C" wp14:editId="227C1AAA">
            <wp:extent cx="5943600" cy="664093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640939"/>
                    </a:xfrm>
                    <a:prstGeom prst="rect">
                      <a:avLst/>
                    </a:prstGeom>
                    <a:noFill/>
                    <a:ln>
                      <a:noFill/>
                    </a:ln>
                  </pic:spPr>
                </pic:pic>
              </a:graphicData>
            </a:graphic>
          </wp:inline>
        </w:drawing>
      </w:r>
    </w:p>
    <w:p w14:paraId="6B492BC0" w14:textId="1C69C1F9" w:rsidR="002715D7" w:rsidRDefault="00DF143F" w:rsidP="00602D22">
      <w:pPr>
        <w:pStyle w:val="Caption"/>
      </w:pPr>
      <w:r w:rsidRPr="00E708DE">
        <w:rPr>
          <w:color w:val="auto"/>
        </w:rPr>
        <w:t>Source:</w:t>
      </w:r>
      <w:r w:rsidRPr="00E708DE">
        <w:rPr>
          <w:b w:val="0"/>
          <w:color w:val="auto"/>
        </w:rPr>
        <w:t xml:space="preserve"> Eastern Maine Development Corporation 2003</w:t>
      </w:r>
    </w:p>
    <w:p w14:paraId="0FA26378" w14:textId="5EAB4F31" w:rsidR="00C35496" w:rsidRPr="00E708DE" w:rsidRDefault="00F71A64" w:rsidP="008255E8">
      <w:pPr>
        <w:widowControl w:val="0"/>
        <w:spacing w:after="120"/>
        <w:rPr>
          <w:u w:val="single"/>
        </w:rPr>
      </w:pPr>
      <w:r>
        <w:rPr>
          <w:u w:val="single"/>
        </w:rPr>
        <w:t>PUBLIC ROADS AND WAYS</w:t>
      </w:r>
    </w:p>
    <w:p w14:paraId="69D15290" w14:textId="587EED2A" w:rsidR="00DF143F" w:rsidRDefault="000A1631" w:rsidP="00E708DE">
      <w:pPr>
        <w:widowControl w:val="0"/>
        <w:spacing w:after="120"/>
      </w:pPr>
      <w:r>
        <w:t>The table below shows public roads in Clifton</w:t>
      </w:r>
      <w:r w:rsidR="00DF143F">
        <w:t xml:space="preserve">. </w:t>
      </w:r>
      <w:r>
        <w:t xml:space="preserve"> D</w:t>
      </w:r>
      <w:r w:rsidR="00DF143F">
        <w:t>ivided into three categories of road function</w:t>
      </w:r>
      <w:r>
        <w:t>, they are</w:t>
      </w:r>
      <w:r w:rsidR="00DF143F">
        <w:t xml:space="preserve">: arterial, collector, and local. </w:t>
      </w:r>
      <w:r>
        <w:t xml:space="preserve"> </w:t>
      </w:r>
      <w:r w:rsidR="00DF143F">
        <w:t xml:space="preserve">The table also indicates maintenance responsibility or </w:t>
      </w:r>
      <w:r w:rsidR="00DF143F">
        <w:lastRenderedPageBreak/>
        <w:t>jurisdiction, surfacing, and overall condition for Clifton’s approximately 19 miles of road.  The Town is financially responsible to maintain approximately</w:t>
      </w:r>
      <w:r>
        <w:t xml:space="preserve"> </w:t>
      </w:r>
      <w:r w:rsidR="00DF143F">
        <w:t xml:space="preserve">6.86 miles of the road location. Although Rebel Hill (Route 180) has a federal function classification of minor collector, the </w:t>
      </w:r>
      <w:r w:rsidR="00F71A64">
        <w:t>town works with this road with an arterial perspective.</w:t>
      </w:r>
    </w:p>
    <w:tbl>
      <w:tblPr>
        <w:tblW w:w="9936" w:type="dxa"/>
        <w:tblInd w:w="93" w:type="dxa"/>
        <w:tblLook w:val="04A0" w:firstRow="1" w:lastRow="0" w:firstColumn="1" w:lastColumn="0" w:noHBand="0" w:noVBand="1"/>
      </w:tblPr>
      <w:tblGrid>
        <w:gridCol w:w="1717"/>
        <w:gridCol w:w="1583"/>
        <w:gridCol w:w="1599"/>
        <w:gridCol w:w="1754"/>
        <w:gridCol w:w="1654"/>
        <w:gridCol w:w="1629"/>
      </w:tblGrid>
      <w:tr w:rsidR="00046C10" w:rsidRPr="00046C10" w14:paraId="72DE88FA" w14:textId="77777777" w:rsidTr="00B8789F">
        <w:trPr>
          <w:trHeight w:val="580"/>
        </w:trPr>
        <w:tc>
          <w:tcPr>
            <w:tcW w:w="1717" w:type="dxa"/>
            <w:tcBorders>
              <w:top w:val="single" w:sz="8" w:space="0" w:color="auto"/>
              <w:left w:val="single" w:sz="8" w:space="0" w:color="auto"/>
              <w:bottom w:val="single" w:sz="8" w:space="0" w:color="auto"/>
              <w:right w:val="single" w:sz="8" w:space="0" w:color="auto"/>
            </w:tcBorders>
            <w:shd w:val="clear" w:color="000000" w:fill="CCFFCC"/>
            <w:vAlign w:val="center"/>
            <w:hideMark/>
          </w:tcPr>
          <w:p w14:paraId="5C8DD2A8" w14:textId="77777777" w:rsidR="00046C10" w:rsidRPr="00046C10" w:rsidRDefault="00046C10" w:rsidP="00046C10">
            <w:pPr>
              <w:jc w:val="center"/>
              <w:rPr>
                <w:rFonts w:ascii="Calibri" w:hAnsi="Calibri"/>
                <w:b/>
                <w:bCs/>
                <w:color w:val="000000"/>
                <w:sz w:val="22"/>
                <w:szCs w:val="22"/>
              </w:rPr>
            </w:pPr>
            <w:r w:rsidRPr="00046C10">
              <w:rPr>
                <w:rFonts w:ascii="Calibri" w:hAnsi="Calibri"/>
                <w:b/>
                <w:bCs/>
                <w:color w:val="000000"/>
                <w:sz w:val="22"/>
                <w:szCs w:val="22"/>
              </w:rPr>
              <w:t>Road Name</w:t>
            </w:r>
          </w:p>
        </w:tc>
        <w:tc>
          <w:tcPr>
            <w:tcW w:w="1583" w:type="dxa"/>
            <w:tcBorders>
              <w:top w:val="single" w:sz="8" w:space="0" w:color="auto"/>
              <w:left w:val="nil"/>
              <w:bottom w:val="single" w:sz="8" w:space="0" w:color="auto"/>
              <w:right w:val="single" w:sz="8" w:space="0" w:color="auto"/>
            </w:tcBorders>
            <w:shd w:val="clear" w:color="000000" w:fill="CCFFCC"/>
            <w:vAlign w:val="center"/>
            <w:hideMark/>
          </w:tcPr>
          <w:p w14:paraId="47D74ED9" w14:textId="28921D0F" w:rsidR="00046C10" w:rsidRPr="00046C10" w:rsidRDefault="00F25F4C" w:rsidP="00046C10">
            <w:pPr>
              <w:jc w:val="center"/>
              <w:rPr>
                <w:rFonts w:ascii="Calibri" w:hAnsi="Calibri"/>
                <w:b/>
                <w:bCs/>
                <w:color w:val="000000"/>
                <w:sz w:val="22"/>
                <w:szCs w:val="22"/>
              </w:rPr>
            </w:pPr>
            <w:r>
              <w:rPr>
                <w:rFonts w:ascii="Calibri" w:hAnsi="Calibri"/>
                <w:b/>
                <w:bCs/>
                <w:color w:val="000000"/>
                <w:sz w:val="22"/>
                <w:szCs w:val="22"/>
              </w:rPr>
              <w:t xml:space="preserve"> Length FT/M</w:t>
            </w:r>
            <w:r w:rsidR="00046C10" w:rsidRPr="00046C10">
              <w:rPr>
                <w:rFonts w:ascii="Calibri" w:hAnsi="Calibri"/>
                <w:b/>
                <w:bCs/>
                <w:color w:val="000000"/>
                <w:sz w:val="22"/>
                <w:szCs w:val="22"/>
              </w:rPr>
              <w:t xml:space="preserve"> </w:t>
            </w:r>
          </w:p>
        </w:tc>
        <w:tc>
          <w:tcPr>
            <w:tcW w:w="1599" w:type="dxa"/>
            <w:tcBorders>
              <w:top w:val="single" w:sz="8" w:space="0" w:color="auto"/>
              <w:left w:val="nil"/>
              <w:bottom w:val="single" w:sz="8" w:space="0" w:color="auto"/>
              <w:right w:val="single" w:sz="8" w:space="0" w:color="auto"/>
            </w:tcBorders>
            <w:shd w:val="clear" w:color="000000" w:fill="CCFFCC"/>
            <w:vAlign w:val="center"/>
            <w:hideMark/>
          </w:tcPr>
          <w:p w14:paraId="29F8B02D" w14:textId="77777777" w:rsidR="00046C10" w:rsidRPr="00046C10" w:rsidRDefault="00046C10" w:rsidP="00046C10">
            <w:pPr>
              <w:jc w:val="center"/>
              <w:rPr>
                <w:rFonts w:ascii="Calibri" w:hAnsi="Calibri"/>
                <w:b/>
                <w:bCs/>
                <w:color w:val="000000"/>
                <w:sz w:val="22"/>
                <w:szCs w:val="22"/>
              </w:rPr>
            </w:pPr>
            <w:r w:rsidRPr="00046C10">
              <w:rPr>
                <w:rFonts w:ascii="Calibri" w:hAnsi="Calibri"/>
                <w:b/>
                <w:bCs/>
                <w:color w:val="000000"/>
                <w:sz w:val="22"/>
                <w:szCs w:val="22"/>
              </w:rPr>
              <w:t>Surface</w:t>
            </w:r>
          </w:p>
        </w:tc>
        <w:tc>
          <w:tcPr>
            <w:tcW w:w="1754" w:type="dxa"/>
            <w:tcBorders>
              <w:top w:val="single" w:sz="8" w:space="0" w:color="auto"/>
              <w:left w:val="nil"/>
              <w:bottom w:val="single" w:sz="8" w:space="0" w:color="auto"/>
              <w:right w:val="single" w:sz="8" w:space="0" w:color="auto"/>
            </w:tcBorders>
            <w:shd w:val="clear" w:color="000000" w:fill="CCFFCC"/>
            <w:vAlign w:val="center"/>
            <w:hideMark/>
          </w:tcPr>
          <w:p w14:paraId="448B83EA" w14:textId="77777777" w:rsidR="00046C10" w:rsidRPr="00046C10" w:rsidRDefault="00046C10" w:rsidP="00046C10">
            <w:pPr>
              <w:jc w:val="center"/>
              <w:rPr>
                <w:rFonts w:ascii="Calibri" w:hAnsi="Calibri"/>
                <w:b/>
                <w:bCs/>
                <w:color w:val="000000"/>
                <w:sz w:val="22"/>
                <w:szCs w:val="22"/>
              </w:rPr>
            </w:pPr>
            <w:r w:rsidRPr="00046C10">
              <w:rPr>
                <w:rFonts w:ascii="Calibri" w:hAnsi="Calibri"/>
                <w:b/>
                <w:bCs/>
                <w:color w:val="000000"/>
                <w:sz w:val="22"/>
                <w:szCs w:val="22"/>
              </w:rPr>
              <w:t>Responsibility</w:t>
            </w:r>
          </w:p>
        </w:tc>
        <w:tc>
          <w:tcPr>
            <w:tcW w:w="1654" w:type="dxa"/>
            <w:tcBorders>
              <w:top w:val="single" w:sz="8" w:space="0" w:color="auto"/>
              <w:left w:val="nil"/>
              <w:bottom w:val="single" w:sz="8" w:space="0" w:color="auto"/>
              <w:right w:val="single" w:sz="8" w:space="0" w:color="auto"/>
            </w:tcBorders>
            <w:shd w:val="clear" w:color="000000" w:fill="CCFFCC"/>
            <w:vAlign w:val="center"/>
            <w:hideMark/>
          </w:tcPr>
          <w:p w14:paraId="3750927B" w14:textId="77777777" w:rsidR="00046C10" w:rsidRPr="00046C10" w:rsidRDefault="00046C10" w:rsidP="00046C10">
            <w:pPr>
              <w:jc w:val="center"/>
              <w:rPr>
                <w:rFonts w:ascii="Calibri" w:hAnsi="Calibri"/>
                <w:b/>
                <w:bCs/>
                <w:color w:val="000000"/>
                <w:sz w:val="22"/>
                <w:szCs w:val="22"/>
              </w:rPr>
            </w:pPr>
            <w:r w:rsidRPr="00046C10">
              <w:rPr>
                <w:rFonts w:ascii="Calibri" w:hAnsi="Calibri"/>
                <w:b/>
                <w:bCs/>
                <w:color w:val="000000"/>
                <w:sz w:val="22"/>
                <w:szCs w:val="22"/>
              </w:rPr>
              <w:t>Condition</w:t>
            </w:r>
          </w:p>
        </w:tc>
        <w:tc>
          <w:tcPr>
            <w:tcW w:w="1629" w:type="dxa"/>
            <w:tcBorders>
              <w:top w:val="single" w:sz="8" w:space="0" w:color="auto"/>
              <w:left w:val="nil"/>
              <w:bottom w:val="single" w:sz="8" w:space="0" w:color="auto"/>
              <w:right w:val="single" w:sz="8" w:space="0" w:color="auto"/>
            </w:tcBorders>
            <w:shd w:val="clear" w:color="000000" w:fill="CCFFCC"/>
            <w:vAlign w:val="center"/>
            <w:hideMark/>
          </w:tcPr>
          <w:p w14:paraId="291056CC" w14:textId="77777777" w:rsidR="00046C10" w:rsidRPr="00046C10" w:rsidRDefault="00046C10" w:rsidP="00046C10">
            <w:pPr>
              <w:jc w:val="center"/>
              <w:rPr>
                <w:rFonts w:ascii="Calibri" w:hAnsi="Calibri"/>
                <w:b/>
                <w:bCs/>
                <w:color w:val="000000"/>
                <w:sz w:val="22"/>
                <w:szCs w:val="22"/>
              </w:rPr>
            </w:pPr>
            <w:r w:rsidRPr="00046C10">
              <w:rPr>
                <w:rFonts w:ascii="Calibri" w:hAnsi="Calibri"/>
                <w:b/>
                <w:bCs/>
                <w:color w:val="000000"/>
                <w:sz w:val="22"/>
                <w:szCs w:val="22"/>
              </w:rPr>
              <w:t>Federal Function</w:t>
            </w:r>
          </w:p>
        </w:tc>
      </w:tr>
      <w:tr w:rsidR="00CA1694" w:rsidRPr="00046C10" w14:paraId="759FCB21"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5E39D9DA"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Airline Road (Route 9)</w:t>
            </w:r>
          </w:p>
        </w:tc>
        <w:tc>
          <w:tcPr>
            <w:tcW w:w="1583" w:type="dxa"/>
            <w:tcBorders>
              <w:top w:val="nil"/>
              <w:left w:val="nil"/>
              <w:bottom w:val="single" w:sz="8" w:space="0" w:color="auto"/>
              <w:right w:val="single" w:sz="8" w:space="0" w:color="auto"/>
            </w:tcBorders>
            <w:shd w:val="clear" w:color="auto" w:fill="auto"/>
            <w:vAlign w:val="center"/>
            <w:hideMark/>
          </w:tcPr>
          <w:p w14:paraId="6C6763EC" w14:textId="1B4E0551" w:rsidR="00CA1694" w:rsidRPr="00046C10" w:rsidRDefault="00CA1694" w:rsidP="00046C10">
            <w:pPr>
              <w:jc w:val="right"/>
              <w:rPr>
                <w:rFonts w:ascii="Calibri" w:hAnsi="Calibri"/>
                <w:color w:val="000000"/>
                <w:sz w:val="22"/>
                <w:szCs w:val="22"/>
              </w:rPr>
            </w:pPr>
            <w:r>
              <w:rPr>
                <w:rFonts w:ascii="Calibri" w:hAnsi="Calibri"/>
                <w:color w:val="000000"/>
                <w:sz w:val="22"/>
                <w:szCs w:val="22"/>
              </w:rPr>
              <w:t>34,385/10,481</w:t>
            </w:r>
          </w:p>
        </w:tc>
        <w:tc>
          <w:tcPr>
            <w:tcW w:w="1599" w:type="dxa"/>
            <w:tcBorders>
              <w:top w:val="nil"/>
              <w:left w:val="nil"/>
              <w:bottom w:val="single" w:sz="8" w:space="0" w:color="auto"/>
              <w:right w:val="single" w:sz="8" w:space="0" w:color="auto"/>
            </w:tcBorders>
            <w:shd w:val="clear" w:color="auto" w:fill="auto"/>
            <w:vAlign w:val="center"/>
            <w:hideMark/>
          </w:tcPr>
          <w:p w14:paraId="55714BDF"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Paved</w:t>
            </w:r>
          </w:p>
        </w:tc>
        <w:tc>
          <w:tcPr>
            <w:tcW w:w="1754" w:type="dxa"/>
            <w:tcBorders>
              <w:top w:val="nil"/>
              <w:left w:val="nil"/>
              <w:bottom w:val="single" w:sz="8" w:space="0" w:color="auto"/>
              <w:right w:val="single" w:sz="8" w:space="0" w:color="auto"/>
            </w:tcBorders>
            <w:shd w:val="clear" w:color="auto" w:fill="auto"/>
            <w:vAlign w:val="center"/>
            <w:hideMark/>
          </w:tcPr>
          <w:p w14:paraId="76787CA8"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State</w:t>
            </w:r>
          </w:p>
        </w:tc>
        <w:tc>
          <w:tcPr>
            <w:tcW w:w="1654" w:type="dxa"/>
            <w:tcBorders>
              <w:top w:val="nil"/>
              <w:left w:val="nil"/>
              <w:bottom w:val="single" w:sz="8" w:space="0" w:color="auto"/>
              <w:right w:val="single" w:sz="8" w:space="0" w:color="auto"/>
            </w:tcBorders>
            <w:shd w:val="clear" w:color="auto" w:fill="auto"/>
            <w:vAlign w:val="center"/>
            <w:hideMark/>
          </w:tcPr>
          <w:p w14:paraId="07532049"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Good</w:t>
            </w:r>
          </w:p>
        </w:tc>
        <w:tc>
          <w:tcPr>
            <w:tcW w:w="1629" w:type="dxa"/>
            <w:tcBorders>
              <w:top w:val="nil"/>
              <w:left w:val="nil"/>
              <w:bottom w:val="single" w:sz="8" w:space="0" w:color="auto"/>
              <w:right w:val="single" w:sz="8" w:space="0" w:color="auto"/>
            </w:tcBorders>
            <w:shd w:val="clear" w:color="auto" w:fill="auto"/>
            <w:vAlign w:val="center"/>
            <w:hideMark/>
          </w:tcPr>
          <w:p w14:paraId="1B0A4FB0"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Other Principal Arterial</w:t>
            </w:r>
          </w:p>
        </w:tc>
      </w:tr>
      <w:tr w:rsidR="00CA1694" w:rsidRPr="00046C10" w14:paraId="3E8DBAE8"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0E40BA09"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Rebel Hill Road</w:t>
            </w:r>
          </w:p>
        </w:tc>
        <w:tc>
          <w:tcPr>
            <w:tcW w:w="1583" w:type="dxa"/>
            <w:tcBorders>
              <w:top w:val="nil"/>
              <w:left w:val="nil"/>
              <w:bottom w:val="single" w:sz="8" w:space="0" w:color="auto"/>
              <w:right w:val="single" w:sz="8" w:space="0" w:color="auto"/>
            </w:tcBorders>
            <w:shd w:val="clear" w:color="auto" w:fill="auto"/>
            <w:vAlign w:val="center"/>
            <w:hideMark/>
          </w:tcPr>
          <w:p w14:paraId="642DA749" w14:textId="5BDF1F6F" w:rsidR="00CA1694" w:rsidRPr="00046C10" w:rsidRDefault="00CA1694" w:rsidP="00046C10">
            <w:pPr>
              <w:jc w:val="right"/>
              <w:rPr>
                <w:rFonts w:ascii="Calibri" w:hAnsi="Calibri"/>
                <w:color w:val="000000"/>
                <w:sz w:val="22"/>
                <w:szCs w:val="22"/>
              </w:rPr>
            </w:pPr>
            <w:r>
              <w:rPr>
                <w:rFonts w:ascii="Calibri" w:hAnsi="Calibri"/>
                <w:color w:val="000000"/>
                <w:sz w:val="22"/>
                <w:szCs w:val="22"/>
              </w:rPr>
              <w:t>28,120/8,571</w:t>
            </w:r>
          </w:p>
        </w:tc>
        <w:tc>
          <w:tcPr>
            <w:tcW w:w="1599" w:type="dxa"/>
            <w:tcBorders>
              <w:top w:val="nil"/>
              <w:left w:val="nil"/>
              <w:bottom w:val="single" w:sz="8" w:space="0" w:color="auto"/>
              <w:right w:val="single" w:sz="8" w:space="0" w:color="auto"/>
            </w:tcBorders>
            <w:shd w:val="clear" w:color="auto" w:fill="auto"/>
            <w:vAlign w:val="center"/>
            <w:hideMark/>
          </w:tcPr>
          <w:p w14:paraId="46778851"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Paved</w:t>
            </w:r>
          </w:p>
        </w:tc>
        <w:tc>
          <w:tcPr>
            <w:tcW w:w="1754" w:type="dxa"/>
            <w:tcBorders>
              <w:top w:val="nil"/>
              <w:left w:val="nil"/>
              <w:bottom w:val="single" w:sz="8" w:space="0" w:color="auto"/>
              <w:right w:val="single" w:sz="8" w:space="0" w:color="auto"/>
            </w:tcBorders>
            <w:shd w:val="clear" w:color="auto" w:fill="auto"/>
            <w:vAlign w:val="center"/>
            <w:hideMark/>
          </w:tcPr>
          <w:p w14:paraId="72B55B5F"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State</w:t>
            </w:r>
          </w:p>
        </w:tc>
        <w:tc>
          <w:tcPr>
            <w:tcW w:w="1654" w:type="dxa"/>
            <w:tcBorders>
              <w:top w:val="nil"/>
              <w:left w:val="nil"/>
              <w:bottom w:val="single" w:sz="8" w:space="0" w:color="auto"/>
              <w:right w:val="single" w:sz="8" w:space="0" w:color="auto"/>
            </w:tcBorders>
            <w:shd w:val="clear" w:color="auto" w:fill="auto"/>
            <w:vAlign w:val="center"/>
            <w:hideMark/>
          </w:tcPr>
          <w:p w14:paraId="327F4472"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Good</w:t>
            </w:r>
          </w:p>
        </w:tc>
        <w:tc>
          <w:tcPr>
            <w:tcW w:w="1629" w:type="dxa"/>
            <w:tcBorders>
              <w:top w:val="nil"/>
              <w:left w:val="nil"/>
              <w:bottom w:val="single" w:sz="8" w:space="0" w:color="auto"/>
              <w:right w:val="single" w:sz="8" w:space="0" w:color="auto"/>
            </w:tcBorders>
            <w:shd w:val="clear" w:color="auto" w:fill="auto"/>
            <w:vAlign w:val="center"/>
            <w:hideMark/>
          </w:tcPr>
          <w:p w14:paraId="5771A9D8"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Other Principal Arterial</w:t>
            </w:r>
          </w:p>
        </w:tc>
      </w:tr>
      <w:tr w:rsidR="00CA1694" w:rsidRPr="00046C10" w14:paraId="4EC94683"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5E481E49"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Bobcat Road</w:t>
            </w:r>
          </w:p>
        </w:tc>
        <w:tc>
          <w:tcPr>
            <w:tcW w:w="1583" w:type="dxa"/>
            <w:tcBorders>
              <w:top w:val="nil"/>
              <w:left w:val="nil"/>
              <w:bottom w:val="single" w:sz="8" w:space="0" w:color="auto"/>
              <w:right w:val="single" w:sz="8" w:space="0" w:color="auto"/>
            </w:tcBorders>
            <w:shd w:val="clear" w:color="auto" w:fill="auto"/>
            <w:vAlign w:val="center"/>
            <w:hideMark/>
          </w:tcPr>
          <w:p w14:paraId="0FBEC5B7" w14:textId="52FE5786" w:rsidR="00CA1694" w:rsidRPr="00046C10" w:rsidRDefault="00CA1694" w:rsidP="00046C10">
            <w:pPr>
              <w:jc w:val="right"/>
              <w:rPr>
                <w:rFonts w:ascii="Calibri" w:hAnsi="Calibri"/>
                <w:color w:val="000000"/>
                <w:sz w:val="22"/>
                <w:szCs w:val="22"/>
              </w:rPr>
            </w:pPr>
            <w:r>
              <w:rPr>
                <w:rFonts w:ascii="Calibri" w:hAnsi="Calibri"/>
                <w:color w:val="000000"/>
                <w:sz w:val="22"/>
                <w:szCs w:val="22"/>
              </w:rPr>
              <w:t>6,997/2,133</w:t>
            </w:r>
          </w:p>
        </w:tc>
        <w:tc>
          <w:tcPr>
            <w:tcW w:w="1599" w:type="dxa"/>
            <w:tcBorders>
              <w:top w:val="nil"/>
              <w:left w:val="nil"/>
              <w:bottom w:val="single" w:sz="8" w:space="0" w:color="auto"/>
              <w:right w:val="single" w:sz="8" w:space="0" w:color="auto"/>
            </w:tcBorders>
            <w:shd w:val="clear" w:color="auto" w:fill="auto"/>
            <w:vAlign w:val="center"/>
            <w:hideMark/>
          </w:tcPr>
          <w:p w14:paraId="24B3C63D"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Gravel</w:t>
            </w:r>
          </w:p>
        </w:tc>
        <w:tc>
          <w:tcPr>
            <w:tcW w:w="1754" w:type="dxa"/>
            <w:tcBorders>
              <w:top w:val="nil"/>
              <w:left w:val="nil"/>
              <w:bottom w:val="single" w:sz="8" w:space="0" w:color="auto"/>
              <w:right w:val="single" w:sz="8" w:space="0" w:color="auto"/>
            </w:tcBorders>
            <w:shd w:val="clear" w:color="auto" w:fill="auto"/>
            <w:vAlign w:val="center"/>
            <w:hideMark/>
          </w:tcPr>
          <w:p w14:paraId="1FC8D3F3"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7677D72F"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6E8711F8"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150E8C4D"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1AA2ED54"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Bruckoff Road</w:t>
            </w:r>
          </w:p>
        </w:tc>
        <w:tc>
          <w:tcPr>
            <w:tcW w:w="1583" w:type="dxa"/>
            <w:tcBorders>
              <w:top w:val="nil"/>
              <w:left w:val="nil"/>
              <w:bottom w:val="single" w:sz="8" w:space="0" w:color="auto"/>
              <w:right w:val="single" w:sz="8" w:space="0" w:color="auto"/>
            </w:tcBorders>
            <w:shd w:val="clear" w:color="auto" w:fill="auto"/>
            <w:vAlign w:val="center"/>
            <w:hideMark/>
          </w:tcPr>
          <w:p w14:paraId="77776BE8" w14:textId="3261249A" w:rsidR="00CA1694" w:rsidRPr="00046C10" w:rsidRDefault="00CA1694" w:rsidP="00046C10">
            <w:pPr>
              <w:jc w:val="right"/>
              <w:rPr>
                <w:rFonts w:ascii="Calibri" w:hAnsi="Calibri"/>
                <w:color w:val="000000"/>
                <w:sz w:val="22"/>
                <w:szCs w:val="22"/>
              </w:rPr>
            </w:pPr>
            <w:r>
              <w:rPr>
                <w:rFonts w:ascii="Calibri" w:hAnsi="Calibri"/>
                <w:color w:val="000000"/>
                <w:sz w:val="22"/>
                <w:szCs w:val="22"/>
              </w:rPr>
              <w:t>5,475/1,669</w:t>
            </w:r>
          </w:p>
        </w:tc>
        <w:tc>
          <w:tcPr>
            <w:tcW w:w="1599" w:type="dxa"/>
            <w:tcBorders>
              <w:top w:val="nil"/>
              <w:left w:val="nil"/>
              <w:bottom w:val="single" w:sz="8" w:space="0" w:color="auto"/>
              <w:right w:val="single" w:sz="8" w:space="0" w:color="auto"/>
            </w:tcBorders>
            <w:shd w:val="clear" w:color="auto" w:fill="auto"/>
            <w:vAlign w:val="center"/>
            <w:hideMark/>
          </w:tcPr>
          <w:p w14:paraId="3B738C8E"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Paved</w:t>
            </w:r>
          </w:p>
        </w:tc>
        <w:tc>
          <w:tcPr>
            <w:tcW w:w="1754" w:type="dxa"/>
            <w:tcBorders>
              <w:top w:val="nil"/>
              <w:left w:val="nil"/>
              <w:bottom w:val="single" w:sz="8" w:space="0" w:color="auto"/>
              <w:right w:val="single" w:sz="8" w:space="0" w:color="auto"/>
            </w:tcBorders>
            <w:shd w:val="clear" w:color="auto" w:fill="auto"/>
            <w:vAlign w:val="center"/>
            <w:hideMark/>
          </w:tcPr>
          <w:p w14:paraId="5AE4055E"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78AEC28F"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636AD8DD"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77C4FADB"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6A291CAB"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Bruckoff Road Cont'd</w:t>
            </w:r>
          </w:p>
        </w:tc>
        <w:tc>
          <w:tcPr>
            <w:tcW w:w="1583" w:type="dxa"/>
            <w:tcBorders>
              <w:top w:val="nil"/>
              <w:left w:val="nil"/>
              <w:bottom w:val="single" w:sz="8" w:space="0" w:color="auto"/>
              <w:right w:val="single" w:sz="8" w:space="0" w:color="auto"/>
            </w:tcBorders>
            <w:shd w:val="clear" w:color="auto" w:fill="auto"/>
            <w:vAlign w:val="center"/>
            <w:hideMark/>
          </w:tcPr>
          <w:p w14:paraId="463DBCE3" w14:textId="6C53DACF" w:rsidR="00CA1694" w:rsidRPr="00046C10" w:rsidRDefault="00CA1694" w:rsidP="00046C10">
            <w:pPr>
              <w:jc w:val="right"/>
              <w:rPr>
                <w:rFonts w:ascii="Calibri" w:hAnsi="Calibri"/>
                <w:color w:val="000000"/>
                <w:sz w:val="22"/>
                <w:szCs w:val="22"/>
              </w:rPr>
            </w:pPr>
            <w:r>
              <w:rPr>
                <w:rFonts w:ascii="Calibri" w:hAnsi="Calibri"/>
                <w:color w:val="000000"/>
                <w:sz w:val="22"/>
                <w:szCs w:val="22"/>
              </w:rPr>
              <w:t>500/152</w:t>
            </w:r>
          </w:p>
        </w:tc>
        <w:tc>
          <w:tcPr>
            <w:tcW w:w="1599" w:type="dxa"/>
            <w:tcBorders>
              <w:top w:val="nil"/>
              <w:left w:val="nil"/>
              <w:bottom w:val="single" w:sz="8" w:space="0" w:color="auto"/>
              <w:right w:val="single" w:sz="8" w:space="0" w:color="auto"/>
            </w:tcBorders>
            <w:shd w:val="clear" w:color="auto" w:fill="auto"/>
            <w:vAlign w:val="center"/>
            <w:hideMark/>
          </w:tcPr>
          <w:p w14:paraId="49843877"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Gravel</w:t>
            </w:r>
          </w:p>
        </w:tc>
        <w:tc>
          <w:tcPr>
            <w:tcW w:w="1754" w:type="dxa"/>
            <w:tcBorders>
              <w:top w:val="nil"/>
              <w:left w:val="nil"/>
              <w:bottom w:val="single" w:sz="8" w:space="0" w:color="auto"/>
              <w:right w:val="single" w:sz="8" w:space="0" w:color="auto"/>
            </w:tcBorders>
            <w:shd w:val="clear" w:color="auto" w:fill="auto"/>
            <w:vAlign w:val="center"/>
            <w:hideMark/>
          </w:tcPr>
          <w:p w14:paraId="70770B90"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22038774"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7C703598"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292DB27A"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5AD8A076"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Chick Hill Road</w:t>
            </w:r>
          </w:p>
        </w:tc>
        <w:tc>
          <w:tcPr>
            <w:tcW w:w="1583" w:type="dxa"/>
            <w:tcBorders>
              <w:top w:val="nil"/>
              <w:left w:val="nil"/>
              <w:bottom w:val="single" w:sz="8" w:space="0" w:color="auto"/>
              <w:right w:val="single" w:sz="8" w:space="0" w:color="auto"/>
            </w:tcBorders>
            <w:shd w:val="clear" w:color="auto" w:fill="auto"/>
            <w:vAlign w:val="center"/>
            <w:hideMark/>
          </w:tcPr>
          <w:p w14:paraId="4390C747" w14:textId="1992B65D" w:rsidR="00CA1694" w:rsidRPr="00046C10" w:rsidRDefault="00CA1694" w:rsidP="00046C10">
            <w:pPr>
              <w:jc w:val="right"/>
              <w:rPr>
                <w:rFonts w:ascii="Calibri" w:hAnsi="Calibri"/>
                <w:color w:val="000000"/>
                <w:sz w:val="22"/>
                <w:szCs w:val="22"/>
              </w:rPr>
            </w:pPr>
            <w:r>
              <w:rPr>
                <w:rFonts w:ascii="Calibri" w:hAnsi="Calibri"/>
                <w:color w:val="000000"/>
                <w:sz w:val="22"/>
                <w:szCs w:val="22"/>
              </w:rPr>
              <w:t>3,478/1,060</w:t>
            </w:r>
          </w:p>
        </w:tc>
        <w:tc>
          <w:tcPr>
            <w:tcW w:w="1599" w:type="dxa"/>
            <w:tcBorders>
              <w:top w:val="nil"/>
              <w:left w:val="nil"/>
              <w:bottom w:val="single" w:sz="8" w:space="0" w:color="auto"/>
              <w:right w:val="single" w:sz="8" w:space="0" w:color="auto"/>
            </w:tcBorders>
            <w:shd w:val="clear" w:color="auto" w:fill="auto"/>
            <w:vAlign w:val="center"/>
            <w:hideMark/>
          </w:tcPr>
          <w:p w14:paraId="2439C4AA"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 xml:space="preserve">Paved </w:t>
            </w:r>
          </w:p>
        </w:tc>
        <w:tc>
          <w:tcPr>
            <w:tcW w:w="1754" w:type="dxa"/>
            <w:tcBorders>
              <w:top w:val="nil"/>
              <w:left w:val="nil"/>
              <w:bottom w:val="single" w:sz="8" w:space="0" w:color="auto"/>
              <w:right w:val="single" w:sz="8" w:space="0" w:color="auto"/>
            </w:tcBorders>
            <w:shd w:val="clear" w:color="auto" w:fill="auto"/>
            <w:vAlign w:val="center"/>
            <w:hideMark/>
          </w:tcPr>
          <w:p w14:paraId="573A6760"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769CC1DC"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76C61C04"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0564603C"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5924B0E2"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Clewley Hill Road</w:t>
            </w:r>
          </w:p>
        </w:tc>
        <w:tc>
          <w:tcPr>
            <w:tcW w:w="1583" w:type="dxa"/>
            <w:tcBorders>
              <w:top w:val="nil"/>
              <w:left w:val="nil"/>
              <w:bottom w:val="single" w:sz="8" w:space="0" w:color="auto"/>
              <w:right w:val="single" w:sz="8" w:space="0" w:color="auto"/>
            </w:tcBorders>
            <w:shd w:val="clear" w:color="auto" w:fill="auto"/>
            <w:vAlign w:val="center"/>
            <w:hideMark/>
          </w:tcPr>
          <w:p w14:paraId="6FA2C1A3" w14:textId="19733743" w:rsidR="00CA1694" w:rsidRPr="00046C10" w:rsidRDefault="00CA1694" w:rsidP="00046C10">
            <w:pPr>
              <w:jc w:val="right"/>
              <w:rPr>
                <w:rFonts w:ascii="Calibri" w:hAnsi="Calibri"/>
                <w:color w:val="000000"/>
                <w:sz w:val="22"/>
                <w:szCs w:val="22"/>
              </w:rPr>
            </w:pPr>
            <w:r>
              <w:rPr>
                <w:rFonts w:ascii="Calibri" w:hAnsi="Calibri"/>
                <w:color w:val="000000"/>
                <w:sz w:val="22"/>
                <w:szCs w:val="22"/>
              </w:rPr>
              <w:t>1,635/498</w:t>
            </w:r>
          </w:p>
        </w:tc>
        <w:tc>
          <w:tcPr>
            <w:tcW w:w="1599" w:type="dxa"/>
            <w:tcBorders>
              <w:top w:val="nil"/>
              <w:left w:val="nil"/>
              <w:bottom w:val="single" w:sz="8" w:space="0" w:color="auto"/>
              <w:right w:val="single" w:sz="8" w:space="0" w:color="auto"/>
            </w:tcBorders>
            <w:shd w:val="clear" w:color="auto" w:fill="auto"/>
            <w:vAlign w:val="center"/>
            <w:hideMark/>
          </w:tcPr>
          <w:p w14:paraId="51EB8DDD"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Gravel</w:t>
            </w:r>
          </w:p>
        </w:tc>
        <w:tc>
          <w:tcPr>
            <w:tcW w:w="1754" w:type="dxa"/>
            <w:tcBorders>
              <w:top w:val="nil"/>
              <w:left w:val="nil"/>
              <w:bottom w:val="single" w:sz="8" w:space="0" w:color="auto"/>
              <w:right w:val="single" w:sz="8" w:space="0" w:color="auto"/>
            </w:tcBorders>
            <w:shd w:val="clear" w:color="auto" w:fill="auto"/>
            <w:vAlign w:val="center"/>
            <w:hideMark/>
          </w:tcPr>
          <w:p w14:paraId="54AE36AB"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3A7420BA"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14185AE9"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50916B49"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76CC8B20"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Getchell Road</w:t>
            </w:r>
          </w:p>
        </w:tc>
        <w:tc>
          <w:tcPr>
            <w:tcW w:w="1583" w:type="dxa"/>
            <w:tcBorders>
              <w:top w:val="nil"/>
              <w:left w:val="nil"/>
              <w:bottom w:val="single" w:sz="8" w:space="0" w:color="auto"/>
              <w:right w:val="single" w:sz="8" w:space="0" w:color="auto"/>
            </w:tcBorders>
            <w:shd w:val="clear" w:color="auto" w:fill="auto"/>
            <w:vAlign w:val="center"/>
            <w:hideMark/>
          </w:tcPr>
          <w:p w14:paraId="200246B5" w14:textId="66461ED4" w:rsidR="00CA1694" w:rsidRPr="00046C10" w:rsidRDefault="00CA1694" w:rsidP="00046C10">
            <w:pPr>
              <w:jc w:val="right"/>
              <w:rPr>
                <w:rFonts w:ascii="Calibri" w:hAnsi="Calibri"/>
                <w:color w:val="000000"/>
                <w:sz w:val="22"/>
                <w:szCs w:val="22"/>
              </w:rPr>
            </w:pPr>
            <w:r>
              <w:rPr>
                <w:rFonts w:ascii="Calibri" w:hAnsi="Calibri"/>
                <w:color w:val="000000"/>
                <w:sz w:val="22"/>
                <w:szCs w:val="22"/>
              </w:rPr>
              <w:t>2,240/683</w:t>
            </w:r>
          </w:p>
        </w:tc>
        <w:tc>
          <w:tcPr>
            <w:tcW w:w="1599" w:type="dxa"/>
            <w:tcBorders>
              <w:top w:val="nil"/>
              <w:left w:val="nil"/>
              <w:bottom w:val="single" w:sz="8" w:space="0" w:color="auto"/>
              <w:right w:val="single" w:sz="8" w:space="0" w:color="auto"/>
            </w:tcBorders>
            <w:shd w:val="clear" w:color="auto" w:fill="auto"/>
            <w:vAlign w:val="center"/>
            <w:hideMark/>
          </w:tcPr>
          <w:p w14:paraId="125F5FCE"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Paved</w:t>
            </w:r>
          </w:p>
        </w:tc>
        <w:tc>
          <w:tcPr>
            <w:tcW w:w="1754" w:type="dxa"/>
            <w:tcBorders>
              <w:top w:val="nil"/>
              <w:left w:val="nil"/>
              <w:bottom w:val="single" w:sz="8" w:space="0" w:color="auto"/>
              <w:right w:val="single" w:sz="8" w:space="0" w:color="auto"/>
            </w:tcBorders>
            <w:shd w:val="clear" w:color="auto" w:fill="auto"/>
            <w:vAlign w:val="center"/>
            <w:hideMark/>
          </w:tcPr>
          <w:p w14:paraId="6FEB1156"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28051697"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66406C8E"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3A59D9F4"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75CDB857"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Getchell Road (2nd Part)</w:t>
            </w:r>
          </w:p>
        </w:tc>
        <w:tc>
          <w:tcPr>
            <w:tcW w:w="1583" w:type="dxa"/>
            <w:tcBorders>
              <w:top w:val="nil"/>
              <w:left w:val="nil"/>
              <w:bottom w:val="single" w:sz="8" w:space="0" w:color="auto"/>
              <w:right w:val="single" w:sz="8" w:space="0" w:color="auto"/>
            </w:tcBorders>
            <w:shd w:val="clear" w:color="auto" w:fill="auto"/>
            <w:vAlign w:val="center"/>
            <w:hideMark/>
          </w:tcPr>
          <w:p w14:paraId="7025E63A" w14:textId="10ED2A7D" w:rsidR="00CA1694" w:rsidRPr="00046C10" w:rsidRDefault="00CA1694" w:rsidP="00046C10">
            <w:pPr>
              <w:jc w:val="right"/>
              <w:rPr>
                <w:rFonts w:ascii="Calibri" w:hAnsi="Calibri"/>
                <w:color w:val="000000"/>
                <w:sz w:val="22"/>
                <w:szCs w:val="22"/>
              </w:rPr>
            </w:pPr>
            <w:r>
              <w:rPr>
                <w:rFonts w:ascii="Calibri" w:hAnsi="Calibri"/>
                <w:color w:val="000000"/>
                <w:sz w:val="22"/>
                <w:szCs w:val="22"/>
              </w:rPr>
              <w:t>1,285/392</w:t>
            </w:r>
          </w:p>
        </w:tc>
        <w:tc>
          <w:tcPr>
            <w:tcW w:w="1599" w:type="dxa"/>
            <w:tcBorders>
              <w:top w:val="nil"/>
              <w:left w:val="nil"/>
              <w:bottom w:val="single" w:sz="8" w:space="0" w:color="auto"/>
              <w:right w:val="single" w:sz="8" w:space="0" w:color="auto"/>
            </w:tcBorders>
            <w:shd w:val="clear" w:color="auto" w:fill="auto"/>
            <w:vAlign w:val="center"/>
            <w:hideMark/>
          </w:tcPr>
          <w:p w14:paraId="78FE2C63"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Gravel</w:t>
            </w:r>
          </w:p>
        </w:tc>
        <w:tc>
          <w:tcPr>
            <w:tcW w:w="1754" w:type="dxa"/>
            <w:tcBorders>
              <w:top w:val="nil"/>
              <w:left w:val="nil"/>
              <w:bottom w:val="single" w:sz="8" w:space="0" w:color="auto"/>
              <w:right w:val="single" w:sz="8" w:space="0" w:color="auto"/>
            </w:tcBorders>
            <w:shd w:val="clear" w:color="auto" w:fill="auto"/>
            <w:vAlign w:val="center"/>
            <w:hideMark/>
          </w:tcPr>
          <w:p w14:paraId="49F9D2C4"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10178C56"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726F7EA1"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35ACA427"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240B3C09"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McCutcheon Road</w:t>
            </w:r>
          </w:p>
        </w:tc>
        <w:tc>
          <w:tcPr>
            <w:tcW w:w="1583" w:type="dxa"/>
            <w:tcBorders>
              <w:top w:val="nil"/>
              <w:left w:val="nil"/>
              <w:bottom w:val="single" w:sz="8" w:space="0" w:color="auto"/>
              <w:right w:val="single" w:sz="8" w:space="0" w:color="auto"/>
            </w:tcBorders>
            <w:shd w:val="clear" w:color="auto" w:fill="auto"/>
            <w:vAlign w:val="center"/>
            <w:hideMark/>
          </w:tcPr>
          <w:p w14:paraId="5E0AE94E" w14:textId="571D5209" w:rsidR="00CA1694" w:rsidRPr="00046C10" w:rsidRDefault="00CA1694" w:rsidP="00046C10">
            <w:pPr>
              <w:jc w:val="right"/>
              <w:rPr>
                <w:rFonts w:ascii="Calibri" w:hAnsi="Calibri"/>
                <w:color w:val="000000"/>
                <w:sz w:val="22"/>
                <w:szCs w:val="22"/>
              </w:rPr>
            </w:pPr>
            <w:r>
              <w:rPr>
                <w:rFonts w:ascii="Calibri" w:hAnsi="Calibri"/>
                <w:color w:val="000000"/>
                <w:sz w:val="22"/>
                <w:szCs w:val="22"/>
              </w:rPr>
              <w:t>1,040/317</w:t>
            </w:r>
          </w:p>
        </w:tc>
        <w:tc>
          <w:tcPr>
            <w:tcW w:w="1599" w:type="dxa"/>
            <w:tcBorders>
              <w:top w:val="nil"/>
              <w:left w:val="nil"/>
              <w:bottom w:val="single" w:sz="8" w:space="0" w:color="auto"/>
              <w:right w:val="single" w:sz="8" w:space="0" w:color="auto"/>
            </w:tcBorders>
            <w:shd w:val="clear" w:color="auto" w:fill="auto"/>
            <w:vAlign w:val="center"/>
            <w:hideMark/>
          </w:tcPr>
          <w:p w14:paraId="63A52C7A"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Gravel</w:t>
            </w:r>
          </w:p>
        </w:tc>
        <w:tc>
          <w:tcPr>
            <w:tcW w:w="1754" w:type="dxa"/>
            <w:tcBorders>
              <w:top w:val="nil"/>
              <w:left w:val="nil"/>
              <w:bottom w:val="single" w:sz="8" w:space="0" w:color="auto"/>
              <w:right w:val="single" w:sz="8" w:space="0" w:color="auto"/>
            </w:tcBorders>
            <w:shd w:val="clear" w:color="auto" w:fill="auto"/>
            <w:vAlign w:val="center"/>
            <w:hideMark/>
          </w:tcPr>
          <w:p w14:paraId="52A827AD"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1806EC25"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5C9E082E"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0209BC70"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3B224509"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McLaughlin Road</w:t>
            </w:r>
          </w:p>
        </w:tc>
        <w:tc>
          <w:tcPr>
            <w:tcW w:w="1583" w:type="dxa"/>
            <w:tcBorders>
              <w:top w:val="nil"/>
              <w:left w:val="nil"/>
              <w:bottom w:val="single" w:sz="8" w:space="0" w:color="auto"/>
              <w:right w:val="single" w:sz="8" w:space="0" w:color="auto"/>
            </w:tcBorders>
            <w:shd w:val="clear" w:color="auto" w:fill="auto"/>
            <w:vAlign w:val="center"/>
            <w:hideMark/>
          </w:tcPr>
          <w:p w14:paraId="2CBF2E15" w14:textId="43A2F51F" w:rsidR="00CA1694" w:rsidRPr="00046C10" w:rsidRDefault="00CA1694" w:rsidP="00046C10">
            <w:pPr>
              <w:jc w:val="right"/>
              <w:rPr>
                <w:rFonts w:ascii="Calibri" w:hAnsi="Calibri"/>
                <w:color w:val="000000"/>
                <w:sz w:val="22"/>
                <w:szCs w:val="22"/>
              </w:rPr>
            </w:pPr>
            <w:r>
              <w:rPr>
                <w:rFonts w:ascii="Calibri" w:hAnsi="Calibri"/>
                <w:color w:val="000000"/>
                <w:sz w:val="22"/>
                <w:szCs w:val="22"/>
              </w:rPr>
              <w:t>613/187</w:t>
            </w:r>
          </w:p>
        </w:tc>
        <w:tc>
          <w:tcPr>
            <w:tcW w:w="1599" w:type="dxa"/>
            <w:tcBorders>
              <w:top w:val="nil"/>
              <w:left w:val="nil"/>
              <w:bottom w:val="single" w:sz="8" w:space="0" w:color="auto"/>
              <w:right w:val="single" w:sz="8" w:space="0" w:color="auto"/>
            </w:tcBorders>
            <w:shd w:val="clear" w:color="auto" w:fill="auto"/>
            <w:vAlign w:val="center"/>
            <w:hideMark/>
          </w:tcPr>
          <w:p w14:paraId="3D579DDE"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Paved</w:t>
            </w:r>
          </w:p>
        </w:tc>
        <w:tc>
          <w:tcPr>
            <w:tcW w:w="1754" w:type="dxa"/>
            <w:tcBorders>
              <w:top w:val="nil"/>
              <w:left w:val="nil"/>
              <w:bottom w:val="single" w:sz="8" w:space="0" w:color="auto"/>
              <w:right w:val="single" w:sz="8" w:space="0" w:color="auto"/>
            </w:tcBorders>
            <w:shd w:val="clear" w:color="auto" w:fill="auto"/>
            <w:vAlign w:val="center"/>
            <w:hideMark/>
          </w:tcPr>
          <w:p w14:paraId="65501700"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4C8F5489"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31AAD713"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0FF8ED1D"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4A8EC192"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Mill Lane</w:t>
            </w:r>
          </w:p>
        </w:tc>
        <w:tc>
          <w:tcPr>
            <w:tcW w:w="1583" w:type="dxa"/>
            <w:tcBorders>
              <w:top w:val="nil"/>
              <w:left w:val="nil"/>
              <w:bottom w:val="single" w:sz="8" w:space="0" w:color="auto"/>
              <w:right w:val="single" w:sz="8" w:space="0" w:color="auto"/>
            </w:tcBorders>
            <w:shd w:val="clear" w:color="auto" w:fill="auto"/>
            <w:vAlign w:val="center"/>
            <w:hideMark/>
          </w:tcPr>
          <w:p w14:paraId="61A4D050" w14:textId="3D50002C" w:rsidR="00CA1694" w:rsidRPr="00046C10" w:rsidRDefault="00CA1694" w:rsidP="00046C10">
            <w:pPr>
              <w:jc w:val="right"/>
              <w:rPr>
                <w:rFonts w:ascii="Calibri" w:hAnsi="Calibri"/>
                <w:color w:val="000000"/>
                <w:sz w:val="22"/>
                <w:szCs w:val="22"/>
              </w:rPr>
            </w:pPr>
            <w:r>
              <w:rPr>
                <w:rFonts w:ascii="Calibri" w:hAnsi="Calibri"/>
                <w:color w:val="000000"/>
                <w:sz w:val="22"/>
                <w:szCs w:val="22"/>
              </w:rPr>
              <w:t>1,800/549</w:t>
            </w:r>
          </w:p>
        </w:tc>
        <w:tc>
          <w:tcPr>
            <w:tcW w:w="1599" w:type="dxa"/>
            <w:tcBorders>
              <w:top w:val="nil"/>
              <w:left w:val="nil"/>
              <w:bottom w:val="single" w:sz="8" w:space="0" w:color="auto"/>
              <w:right w:val="single" w:sz="8" w:space="0" w:color="auto"/>
            </w:tcBorders>
            <w:shd w:val="clear" w:color="auto" w:fill="auto"/>
            <w:vAlign w:val="center"/>
            <w:hideMark/>
          </w:tcPr>
          <w:p w14:paraId="0AD8687B"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Paved</w:t>
            </w:r>
          </w:p>
        </w:tc>
        <w:tc>
          <w:tcPr>
            <w:tcW w:w="1754" w:type="dxa"/>
            <w:tcBorders>
              <w:top w:val="nil"/>
              <w:left w:val="nil"/>
              <w:bottom w:val="single" w:sz="8" w:space="0" w:color="auto"/>
              <w:right w:val="single" w:sz="8" w:space="0" w:color="auto"/>
            </w:tcBorders>
            <w:shd w:val="clear" w:color="auto" w:fill="auto"/>
            <w:vAlign w:val="center"/>
            <w:hideMark/>
          </w:tcPr>
          <w:p w14:paraId="2B2CDAE0"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72D592F2"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06734A60"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19D10053"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5BAD39C4"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Nickerson Hill</w:t>
            </w:r>
          </w:p>
        </w:tc>
        <w:tc>
          <w:tcPr>
            <w:tcW w:w="1583" w:type="dxa"/>
            <w:tcBorders>
              <w:top w:val="nil"/>
              <w:left w:val="nil"/>
              <w:bottom w:val="single" w:sz="8" w:space="0" w:color="auto"/>
              <w:right w:val="single" w:sz="8" w:space="0" w:color="auto"/>
            </w:tcBorders>
            <w:shd w:val="clear" w:color="auto" w:fill="auto"/>
            <w:vAlign w:val="center"/>
            <w:hideMark/>
          </w:tcPr>
          <w:p w14:paraId="1F8DF1F1" w14:textId="04FE1DEB" w:rsidR="00CA1694" w:rsidRPr="00046C10" w:rsidRDefault="00CA1694" w:rsidP="00046C10">
            <w:pPr>
              <w:jc w:val="right"/>
              <w:rPr>
                <w:rFonts w:ascii="Calibri" w:hAnsi="Calibri"/>
                <w:color w:val="000000"/>
                <w:sz w:val="22"/>
                <w:szCs w:val="22"/>
              </w:rPr>
            </w:pPr>
            <w:r>
              <w:rPr>
                <w:rFonts w:ascii="Calibri" w:hAnsi="Calibri"/>
                <w:color w:val="000000"/>
                <w:sz w:val="22"/>
                <w:szCs w:val="22"/>
              </w:rPr>
              <w:t>500/152</w:t>
            </w:r>
          </w:p>
        </w:tc>
        <w:tc>
          <w:tcPr>
            <w:tcW w:w="1599" w:type="dxa"/>
            <w:tcBorders>
              <w:top w:val="nil"/>
              <w:left w:val="nil"/>
              <w:bottom w:val="single" w:sz="8" w:space="0" w:color="auto"/>
              <w:right w:val="single" w:sz="8" w:space="0" w:color="auto"/>
            </w:tcBorders>
            <w:shd w:val="clear" w:color="auto" w:fill="auto"/>
            <w:vAlign w:val="center"/>
            <w:hideMark/>
          </w:tcPr>
          <w:p w14:paraId="238766F2"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Gravel</w:t>
            </w:r>
          </w:p>
        </w:tc>
        <w:tc>
          <w:tcPr>
            <w:tcW w:w="1754" w:type="dxa"/>
            <w:tcBorders>
              <w:top w:val="nil"/>
              <w:left w:val="nil"/>
              <w:bottom w:val="single" w:sz="8" w:space="0" w:color="auto"/>
              <w:right w:val="single" w:sz="8" w:space="0" w:color="auto"/>
            </w:tcBorders>
            <w:shd w:val="clear" w:color="auto" w:fill="auto"/>
            <w:vAlign w:val="center"/>
            <w:hideMark/>
          </w:tcPr>
          <w:p w14:paraId="1C8514D4"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387CC45C"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2585D1DE"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02863A5F"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02063F5B"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North Road</w:t>
            </w:r>
          </w:p>
        </w:tc>
        <w:tc>
          <w:tcPr>
            <w:tcW w:w="1583" w:type="dxa"/>
            <w:tcBorders>
              <w:top w:val="nil"/>
              <w:left w:val="nil"/>
              <w:bottom w:val="single" w:sz="8" w:space="0" w:color="auto"/>
              <w:right w:val="single" w:sz="8" w:space="0" w:color="auto"/>
            </w:tcBorders>
            <w:shd w:val="clear" w:color="auto" w:fill="auto"/>
            <w:vAlign w:val="center"/>
            <w:hideMark/>
          </w:tcPr>
          <w:p w14:paraId="44B9394F" w14:textId="429559A0" w:rsidR="00CA1694" w:rsidRPr="00046C10" w:rsidRDefault="00CA1694" w:rsidP="00046C10">
            <w:pPr>
              <w:jc w:val="right"/>
              <w:rPr>
                <w:rFonts w:ascii="Calibri" w:hAnsi="Calibri"/>
                <w:color w:val="000000"/>
                <w:sz w:val="22"/>
                <w:szCs w:val="22"/>
              </w:rPr>
            </w:pPr>
            <w:r>
              <w:rPr>
                <w:rFonts w:ascii="Calibri" w:hAnsi="Calibri"/>
                <w:color w:val="000000"/>
                <w:sz w:val="22"/>
                <w:szCs w:val="22"/>
              </w:rPr>
              <w:t>565/172</w:t>
            </w:r>
          </w:p>
        </w:tc>
        <w:tc>
          <w:tcPr>
            <w:tcW w:w="1599" w:type="dxa"/>
            <w:tcBorders>
              <w:top w:val="nil"/>
              <w:left w:val="nil"/>
              <w:bottom w:val="single" w:sz="8" w:space="0" w:color="auto"/>
              <w:right w:val="single" w:sz="8" w:space="0" w:color="auto"/>
            </w:tcBorders>
            <w:shd w:val="clear" w:color="auto" w:fill="auto"/>
            <w:vAlign w:val="center"/>
            <w:hideMark/>
          </w:tcPr>
          <w:p w14:paraId="10D86ED6"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Paved</w:t>
            </w:r>
          </w:p>
        </w:tc>
        <w:tc>
          <w:tcPr>
            <w:tcW w:w="1754" w:type="dxa"/>
            <w:tcBorders>
              <w:top w:val="nil"/>
              <w:left w:val="nil"/>
              <w:bottom w:val="single" w:sz="8" w:space="0" w:color="auto"/>
              <w:right w:val="single" w:sz="8" w:space="0" w:color="auto"/>
            </w:tcBorders>
            <w:shd w:val="clear" w:color="auto" w:fill="auto"/>
            <w:vAlign w:val="center"/>
            <w:hideMark/>
          </w:tcPr>
          <w:p w14:paraId="5A20B7C5"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3436EAF7"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39E0DCDF"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05523C0C"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7279FC71"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Old Stage Coach Road</w:t>
            </w:r>
          </w:p>
        </w:tc>
        <w:tc>
          <w:tcPr>
            <w:tcW w:w="1583" w:type="dxa"/>
            <w:tcBorders>
              <w:top w:val="nil"/>
              <w:left w:val="nil"/>
              <w:bottom w:val="single" w:sz="8" w:space="0" w:color="auto"/>
              <w:right w:val="single" w:sz="8" w:space="0" w:color="auto"/>
            </w:tcBorders>
            <w:shd w:val="clear" w:color="auto" w:fill="auto"/>
            <w:vAlign w:val="center"/>
            <w:hideMark/>
          </w:tcPr>
          <w:p w14:paraId="4CD66227" w14:textId="5E836CEB" w:rsidR="00CA1694" w:rsidRPr="00046C10" w:rsidRDefault="00CA1694" w:rsidP="00046C10">
            <w:pPr>
              <w:jc w:val="right"/>
              <w:rPr>
                <w:rFonts w:ascii="Calibri" w:hAnsi="Calibri"/>
                <w:color w:val="000000"/>
                <w:sz w:val="22"/>
                <w:szCs w:val="22"/>
              </w:rPr>
            </w:pPr>
            <w:r>
              <w:rPr>
                <w:rFonts w:ascii="Calibri" w:hAnsi="Calibri"/>
                <w:color w:val="000000"/>
                <w:sz w:val="22"/>
                <w:szCs w:val="22"/>
              </w:rPr>
              <w:t>3,606/1,099</w:t>
            </w:r>
          </w:p>
        </w:tc>
        <w:tc>
          <w:tcPr>
            <w:tcW w:w="1599" w:type="dxa"/>
            <w:tcBorders>
              <w:top w:val="nil"/>
              <w:left w:val="nil"/>
              <w:bottom w:val="single" w:sz="8" w:space="0" w:color="auto"/>
              <w:right w:val="single" w:sz="8" w:space="0" w:color="auto"/>
            </w:tcBorders>
            <w:shd w:val="clear" w:color="auto" w:fill="auto"/>
            <w:vAlign w:val="center"/>
            <w:hideMark/>
          </w:tcPr>
          <w:p w14:paraId="578060B0"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Gravel</w:t>
            </w:r>
          </w:p>
        </w:tc>
        <w:tc>
          <w:tcPr>
            <w:tcW w:w="1754" w:type="dxa"/>
            <w:tcBorders>
              <w:top w:val="nil"/>
              <w:left w:val="nil"/>
              <w:bottom w:val="single" w:sz="8" w:space="0" w:color="auto"/>
              <w:right w:val="single" w:sz="8" w:space="0" w:color="auto"/>
            </w:tcBorders>
            <w:shd w:val="clear" w:color="auto" w:fill="auto"/>
            <w:vAlign w:val="center"/>
            <w:hideMark/>
          </w:tcPr>
          <w:p w14:paraId="730A16B4"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6515DE44"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12FCBFAE"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028E46F4"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3ED656ED"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Pleasant Lane</w:t>
            </w:r>
          </w:p>
        </w:tc>
        <w:tc>
          <w:tcPr>
            <w:tcW w:w="1583" w:type="dxa"/>
            <w:tcBorders>
              <w:top w:val="nil"/>
              <w:left w:val="nil"/>
              <w:bottom w:val="single" w:sz="8" w:space="0" w:color="auto"/>
              <w:right w:val="single" w:sz="8" w:space="0" w:color="auto"/>
            </w:tcBorders>
            <w:shd w:val="clear" w:color="auto" w:fill="auto"/>
            <w:vAlign w:val="center"/>
            <w:hideMark/>
          </w:tcPr>
          <w:p w14:paraId="3FD18F46" w14:textId="731027D5" w:rsidR="00CA1694" w:rsidRPr="00046C10" w:rsidRDefault="00CA1694" w:rsidP="00046C10">
            <w:pPr>
              <w:jc w:val="right"/>
              <w:rPr>
                <w:rFonts w:ascii="Calibri" w:hAnsi="Calibri"/>
                <w:color w:val="000000"/>
                <w:sz w:val="22"/>
                <w:szCs w:val="22"/>
              </w:rPr>
            </w:pPr>
            <w:r>
              <w:rPr>
                <w:rFonts w:ascii="Calibri" w:hAnsi="Calibri"/>
                <w:color w:val="000000"/>
                <w:sz w:val="22"/>
                <w:szCs w:val="22"/>
              </w:rPr>
              <w:t>893/272</w:t>
            </w:r>
          </w:p>
        </w:tc>
        <w:tc>
          <w:tcPr>
            <w:tcW w:w="1599" w:type="dxa"/>
            <w:tcBorders>
              <w:top w:val="nil"/>
              <w:left w:val="nil"/>
              <w:bottom w:val="single" w:sz="8" w:space="0" w:color="auto"/>
              <w:right w:val="single" w:sz="8" w:space="0" w:color="auto"/>
            </w:tcBorders>
            <w:shd w:val="clear" w:color="auto" w:fill="auto"/>
            <w:vAlign w:val="center"/>
            <w:hideMark/>
          </w:tcPr>
          <w:p w14:paraId="65724DB7"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Paved</w:t>
            </w:r>
          </w:p>
        </w:tc>
        <w:tc>
          <w:tcPr>
            <w:tcW w:w="1754" w:type="dxa"/>
            <w:tcBorders>
              <w:top w:val="nil"/>
              <w:left w:val="nil"/>
              <w:bottom w:val="single" w:sz="8" w:space="0" w:color="auto"/>
              <w:right w:val="single" w:sz="8" w:space="0" w:color="auto"/>
            </w:tcBorders>
            <w:shd w:val="clear" w:color="auto" w:fill="auto"/>
            <w:vAlign w:val="center"/>
            <w:hideMark/>
          </w:tcPr>
          <w:p w14:paraId="6D1C44C9"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7087D504"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2604005A"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27F753EC"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2744B258"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Scotts Point Road</w:t>
            </w:r>
          </w:p>
        </w:tc>
        <w:tc>
          <w:tcPr>
            <w:tcW w:w="1583" w:type="dxa"/>
            <w:tcBorders>
              <w:top w:val="nil"/>
              <w:left w:val="nil"/>
              <w:bottom w:val="single" w:sz="8" w:space="0" w:color="auto"/>
              <w:right w:val="single" w:sz="8" w:space="0" w:color="auto"/>
            </w:tcBorders>
            <w:shd w:val="clear" w:color="auto" w:fill="auto"/>
            <w:vAlign w:val="center"/>
            <w:hideMark/>
          </w:tcPr>
          <w:p w14:paraId="117A9A30" w14:textId="7F94491E" w:rsidR="00CA1694" w:rsidRPr="00046C10" w:rsidRDefault="00CA1694" w:rsidP="00046C10">
            <w:pPr>
              <w:jc w:val="right"/>
              <w:rPr>
                <w:rFonts w:ascii="Calibri" w:hAnsi="Calibri"/>
                <w:color w:val="000000"/>
                <w:sz w:val="22"/>
                <w:szCs w:val="22"/>
              </w:rPr>
            </w:pPr>
            <w:r>
              <w:rPr>
                <w:rFonts w:ascii="Calibri" w:hAnsi="Calibri"/>
                <w:color w:val="000000"/>
                <w:sz w:val="22"/>
                <w:szCs w:val="22"/>
              </w:rPr>
              <w:t>6,828/2,081</w:t>
            </w:r>
          </w:p>
        </w:tc>
        <w:tc>
          <w:tcPr>
            <w:tcW w:w="1599" w:type="dxa"/>
            <w:tcBorders>
              <w:top w:val="nil"/>
              <w:left w:val="nil"/>
              <w:bottom w:val="single" w:sz="8" w:space="0" w:color="auto"/>
              <w:right w:val="single" w:sz="8" w:space="0" w:color="auto"/>
            </w:tcBorders>
            <w:shd w:val="clear" w:color="auto" w:fill="auto"/>
            <w:vAlign w:val="center"/>
            <w:hideMark/>
          </w:tcPr>
          <w:p w14:paraId="2779E11B"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Paved</w:t>
            </w:r>
          </w:p>
        </w:tc>
        <w:tc>
          <w:tcPr>
            <w:tcW w:w="1754" w:type="dxa"/>
            <w:tcBorders>
              <w:top w:val="nil"/>
              <w:left w:val="nil"/>
              <w:bottom w:val="single" w:sz="8" w:space="0" w:color="auto"/>
              <w:right w:val="single" w:sz="8" w:space="0" w:color="auto"/>
            </w:tcBorders>
            <w:shd w:val="clear" w:color="auto" w:fill="auto"/>
            <w:vAlign w:val="center"/>
            <w:hideMark/>
          </w:tcPr>
          <w:p w14:paraId="09BD8F18"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48274DBB"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26DDD9C0"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Local</w:t>
            </w:r>
          </w:p>
        </w:tc>
      </w:tr>
      <w:tr w:rsidR="00CA1694" w:rsidRPr="00046C10" w14:paraId="104B3E37" w14:textId="77777777" w:rsidTr="00B8789F">
        <w:trPr>
          <w:trHeight w:val="320"/>
        </w:trPr>
        <w:tc>
          <w:tcPr>
            <w:tcW w:w="1717" w:type="dxa"/>
            <w:tcBorders>
              <w:top w:val="nil"/>
              <w:left w:val="single" w:sz="8" w:space="0" w:color="auto"/>
              <w:bottom w:val="single" w:sz="8" w:space="0" w:color="auto"/>
              <w:right w:val="single" w:sz="8" w:space="0" w:color="auto"/>
            </w:tcBorders>
            <w:shd w:val="clear" w:color="auto" w:fill="auto"/>
            <w:vAlign w:val="center"/>
            <w:hideMark/>
          </w:tcPr>
          <w:p w14:paraId="565B4EEA" w14:textId="77777777" w:rsidR="00CA1694" w:rsidRPr="00046C10" w:rsidRDefault="00CA1694" w:rsidP="00046C10">
            <w:pPr>
              <w:rPr>
                <w:rFonts w:ascii="Calibri" w:hAnsi="Calibri"/>
                <w:color w:val="000000"/>
                <w:sz w:val="22"/>
                <w:szCs w:val="22"/>
              </w:rPr>
            </w:pPr>
            <w:r w:rsidRPr="00046C10">
              <w:rPr>
                <w:rFonts w:ascii="Calibri" w:hAnsi="Calibri"/>
                <w:color w:val="000000"/>
                <w:sz w:val="22"/>
                <w:szCs w:val="22"/>
              </w:rPr>
              <w:t>Woodchuck Hill Road</w:t>
            </w:r>
          </w:p>
        </w:tc>
        <w:tc>
          <w:tcPr>
            <w:tcW w:w="1583" w:type="dxa"/>
            <w:tcBorders>
              <w:top w:val="nil"/>
              <w:left w:val="nil"/>
              <w:bottom w:val="single" w:sz="8" w:space="0" w:color="auto"/>
              <w:right w:val="single" w:sz="8" w:space="0" w:color="auto"/>
            </w:tcBorders>
            <w:shd w:val="clear" w:color="auto" w:fill="auto"/>
            <w:vAlign w:val="center"/>
            <w:hideMark/>
          </w:tcPr>
          <w:p w14:paraId="07EF3A1B" w14:textId="26364428" w:rsidR="00CA1694" w:rsidRPr="00046C10" w:rsidRDefault="00CA1694" w:rsidP="00046C10">
            <w:pPr>
              <w:jc w:val="right"/>
              <w:rPr>
                <w:rFonts w:ascii="Calibri" w:hAnsi="Calibri"/>
                <w:color w:val="000000"/>
                <w:sz w:val="22"/>
                <w:szCs w:val="22"/>
              </w:rPr>
            </w:pPr>
            <w:r>
              <w:rPr>
                <w:rFonts w:ascii="Calibri" w:hAnsi="Calibri"/>
                <w:color w:val="000000"/>
                <w:sz w:val="22"/>
                <w:szCs w:val="22"/>
              </w:rPr>
              <w:t>250/76</w:t>
            </w:r>
          </w:p>
        </w:tc>
        <w:tc>
          <w:tcPr>
            <w:tcW w:w="1599" w:type="dxa"/>
            <w:tcBorders>
              <w:top w:val="nil"/>
              <w:left w:val="nil"/>
              <w:bottom w:val="single" w:sz="8" w:space="0" w:color="auto"/>
              <w:right w:val="single" w:sz="8" w:space="0" w:color="auto"/>
            </w:tcBorders>
            <w:shd w:val="clear" w:color="auto" w:fill="auto"/>
            <w:vAlign w:val="center"/>
            <w:hideMark/>
          </w:tcPr>
          <w:p w14:paraId="7F94E224"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Gravel</w:t>
            </w:r>
          </w:p>
        </w:tc>
        <w:tc>
          <w:tcPr>
            <w:tcW w:w="1754" w:type="dxa"/>
            <w:tcBorders>
              <w:top w:val="nil"/>
              <w:left w:val="nil"/>
              <w:bottom w:val="single" w:sz="8" w:space="0" w:color="auto"/>
              <w:right w:val="single" w:sz="8" w:space="0" w:color="auto"/>
            </w:tcBorders>
            <w:shd w:val="clear" w:color="auto" w:fill="auto"/>
            <w:vAlign w:val="center"/>
            <w:hideMark/>
          </w:tcPr>
          <w:p w14:paraId="0DB47219"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Town</w:t>
            </w:r>
          </w:p>
        </w:tc>
        <w:tc>
          <w:tcPr>
            <w:tcW w:w="1654" w:type="dxa"/>
            <w:tcBorders>
              <w:top w:val="nil"/>
              <w:left w:val="nil"/>
              <w:bottom w:val="single" w:sz="8" w:space="0" w:color="auto"/>
              <w:right w:val="single" w:sz="8" w:space="0" w:color="auto"/>
            </w:tcBorders>
            <w:shd w:val="clear" w:color="auto" w:fill="auto"/>
            <w:vAlign w:val="center"/>
            <w:hideMark/>
          </w:tcPr>
          <w:p w14:paraId="5E89D5AA" w14:textId="77777777" w:rsidR="00CA1694" w:rsidRPr="00046C10" w:rsidRDefault="00CA1694" w:rsidP="00046C10">
            <w:pPr>
              <w:jc w:val="center"/>
              <w:rPr>
                <w:rFonts w:ascii="Calibri" w:hAnsi="Calibri"/>
                <w:color w:val="000000"/>
                <w:sz w:val="22"/>
                <w:szCs w:val="22"/>
              </w:rPr>
            </w:pPr>
            <w:r w:rsidRPr="00046C10">
              <w:rPr>
                <w:rFonts w:ascii="Calibri" w:hAnsi="Calibri"/>
                <w:color w:val="000000"/>
                <w:sz w:val="22"/>
                <w:szCs w:val="22"/>
              </w:rPr>
              <w:t>Fair</w:t>
            </w:r>
          </w:p>
        </w:tc>
        <w:tc>
          <w:tcPr>
            <w:tcW w:w="1629" w:type="dxa"/>
            <w:tcBorders>
              <w:top w:val="nil"/>
              <w:left w:val="nil"/>
              <w:bottom w:val="single" w:sz="8" w:space="0" w:color="auto"/>
              <w:right w:val="single" w:sz="8" w:space="0" w:color="auto"/>
            </w:tcBorders>
            <w:shd w:val="clear" w:color="auto" w:fill="auto"/>
            <w:vAlign w:val="center"/>
            <w:hideMark/>
          </w:tcPr>
          <w:p w14:paraId="68D6B784" w14:textId="77777777" w:rsidR="00CA1694" w:rsidRPr="00046C10" w:rsidRDefault="00CA1694" w:rsidP="00B8789F">
            <w:pPr>
              <w:keepNext/>
              <w:jc w:val="center"/>
              <w:rPr>
                <w:rFonts w:ascii="Calibri" w:hAnsi="Calibri"/>
                <w:color w:val="000000"/>
                <w:sz w:val="22"/>
                <w:szCs w:val="22"/>
              </w:rPr>
            </w:pPr>
            <w:r w:rsidRPr="00046C10">
              <w:rPr>
                <w:rFonts w:ascii="Calibri" w:hAnsi="Calibri"/>
                <w:color w:val="000000"/>
                <w:sz w:val="22"/>
                <w:szCs w:val="22"/>
              </w:rPr>
              <w:t>Local</w:t>
            </w:r>
          </w:p>
        </w:tc>
      </w:tr>
    </w:tbl>
    <w:p w14:paraId="5678F91A" w14:textId="712051EB" w:rsidR="00046C10" w:rsidRPr="00E708DE" w:rsidRDefault="009E2631" w:rsidP="00B8789F">
      <w:pPr>
        <w:pStyle w:val="Caption"/>
      </w:pPr>
      <w:r w:rsidRPr="00B8789F">
        <w:rPr>
          <w:color w:val="auto"/>
        </w:rPr>
        <w:t xml:space="preserve">Source: </w:t>
      </w:r>
      <w:r w:rsidRPr="00B8789F">
        <w:rPr>
          <w:b w:val="0"/>
          <w:color w:val="auto"/>
        </w:rPr>
        <w:t>Maine Department of Transportation; Town Records</w:t>
      </w:r>
    </w:p>
    <w:p w14:paraId="346381E6" w14:textId="6EB0B2EB" w:rsidR="00F71A64" w:rsidRPr="00482B4C" w:rsidRDefault="00CB7E58" w:rsidP="00F71A64">
      <w:pPr>
        <w:widowControl w:val="0"/>
        <w:spacing w:after="120"/>
        <w:rPr>
          <w:u w:val="single"/>
        </w:rPr>
      </w:pPr>
      <w:r>
        <w:rPr>
          <w:u w:val="single"/>
        </w:rPr>
        <w:t>PRIVATE</w:t>
      </w:r>
      <w:r w:rsidR="00F71A64">
        <w:rPr>
          <w:u w:val="single"/>
        </w:rPr>
        <w:t xml:space="preserve"> ROADS AND WAYS</w:t>
      </w:r>
    </w:p>
    <w:p w14:paraId="52D6D1C7" w14:textId="6A95DAE2" w:rsidR="00DF143F" w:rsidRDefault="00F71A64" w:rsidP="00B8789F">
      <w:pPr>
        <w:widowControl w:val="0"/>
        <w:spacing w:after="180"/>
      </w:pPr>
      <w:r w:rsidRPr="00F71A64">
        <w:t>Clifton’s private roads serve subdivisions, woodlots, camps and individual residences.</w:t>
      </w:r>
      <w:r>
        <w:t xml:space="preserve"> </w:t>
      </w:r>
      <w:r w:rsidRPr="00F71A64">
        <w:t xml:space="preserve"> In some cases, because of the new Enhanced 911 system, private roads include long driveways. </w:t>
      </w:r>
      <w:r>
        <w:t xml:space="preserve"> </w:t>
      </w:r>
      <w:r w:rsidRPr="00F71A64">
        <w:t xml:space="preserve">A driveway will have a name if it accesses more than one residential structure, to lessen the confusion for emergency personnel. </w:t>
      </w:r>
      <w:r>
        <w:t xml:space="preserve"> </w:t>
      </w:r>
      <w:r w:rsidRPr="00F71A64">
        <w:t xml:space="preserve">Whatever the case may be, private roads receive their maintenance from a source other than the Town or the State. </w:t>
      </w:r>
      <w:r>
        <w:t xml:space="preserve"> Since these roads are private, </w:t>
      </w:r>
      <w:r w:rsidRPr="00F71A64">
        <w:t xml:space="preserve">issues with respect to accessibility, maintenance and road standards </w:t>
      </w:r>
      <w:r>
        <w:t xml:space="preserve">fall on the responsibility of the association owners and the town limits discussion and responsibility for issues arising from these roads.  </w:t>
      </w:r>
      <w:r w:rsidRPr="00F71A64">
        <w:t>Following is a listing of the private roads and ways in Clifton.</w:t>
      </w:r>
    </w:p>
    <w:tbl>
      <w:tblPr>
        <w:tblW w:w="8400" w:type="dxa"/>
        <w:jc w:val="center"/>
        <w:tblLook w:val="04A0" w:firstRow="1" w:lastRow="0" w:firstColumn="1" w:lastColumn="0" w:noHBand="0" w:noVBand="1"/>
      </w:tblPr>
      <w:tblGrid>
        <w:gridCol w:w="2744"/>
        <w:gridCol w:w="1415"/>
        <w:gridCol w:w="1280"/>
        <w:gridCol w:w="1671"/>
        <w:gridCol w:w="1290"/>
      </w:tblGrid>
      <w:tr w:rsidR="00C20ED5" w:rsidRPr="00C20ED5" w14:paraId="06B439D6" w14:textId="77777777" w:rsidTr="00B8789F">
        <w:trPr>
          <w:trHeight w:val="580"/>
          <w:tblHeader/>
          <w:jc w:val="center"/>
        </w:trPr>
        <w:tc>
          <w:tcPr>
            <w:tcW w:w="2820" w:type="dxa"/>
            <w:tcBorders>
              <w:top w:val="single" w:sz="8" w:space="0" w:color="auto"/>
              <w:left w:val="single" w:sz="8" w:space="0" w:color="auto"/>
              <w:bottom w:val="single" w:sz="8" w:space="0" w:color="auto"/>
              <w:right w:val="single" w:sz="8" w:space="0" w:color="auto"/>
            </w:tcBorders>
            <w:shd w:val="clear" w:color="000000" w:fill="CCFFCC"/>
            <w:vAlign w:val="center"/>
            <w:hideMark/>
          </w:tcPr>
          <w:p w14:paraId="153905D0" w14:textId="77777777" w:rsidR="00C20ED5" w:rsidRPr="00C20ED5" w:rsidRDefault="00C20ED5" w:rsidP="00C20ED5">
            <w:pPr>
              <w:jc w:val="center"/>
              <w:rPr>
                <w:rFonts w:ascii="Calibri" w:hAnsi="Calibri"/>
                <w:b/>
                <w:bCs/>
                <w:color w:val="000000"/>
                <w:sz w:val="22"/>
                <w:szCs w:val="22"/>
              </w:rPr>
            </w:pPr>
            <w:r w:rsidRPr="00C20ED5">
              <w:rPr>
                <w:rFonts w:ascii="Calibri" w:hAnsi="Calibri"/>
                <w:b/>
                <w:bCs/>
                <w:color w:val="000000"/>
                <w:sz w:val="22"/>
                <w:szCs w:val="22"/>
              </w:rPr>
              <w:t>Road Name</w:t>
            </w:r>
          </w:p>
        </w:tc>
        <w:tc>
          <w:tcPr>
            <w:tcW w:w="1300" w:type="dxa"/>
            <w:tcBorders>
              <w:top w:val="single" w:sz="8" w:space="0" w:color="auto"/>
              <w:left w:val="nil"/>
              <w:bottom w:val="single" w:sz="8" w:space="0" w:color="auto"/>
              <w:right w:val="single" w:sz="8" w:space="0" w:color="auto"/>
            </w:tcBorders>
            <w:shd w:val="clear" w:color="000000" w:fill="CCFFCC"/>
            <w:vAlign w:val="center"/>
            <w:hideMark/>
          </w:tcPr>
          <w:p w14:paraId="47A0AC97" w14:textId="0FCCCA50" w:rsidR="00C20ED5" w:rsidRPr="00C20ED5" w:rsidRDefault="00F23EFD">
            <w:pPr>
              <w:jc w:val="center"/>
              <w:rPr>
                <w:rFonts w:ascii="Calibri" w:hAnsi="Calibri"/>
                <w:b/>
                <w:bCs/>
                <w:color w:val="000000"/>
                <w:sz w:val="22"/>
                <w:szCs w:val="22"/>
              </w:rPr>
            </w:pPr>
            <w:r>
              <w:rPr>
                <w:rFonts w:ascii="Calibri" w:hAnsi="Calibri"/>
                <w:b/>
                <w:bCs/>
                <w:color w:val="000000"/>
                <w:sz w:val="22"/>
                <w:szCs w:val="22"/>
              </w:rPr>
              <w:t xml:space="preserve"> Length Ft</w:t>
            </w:r>
            <w:r w:rsidR="00F25F4C">
              <w:rPr>
                <w:rFonts w:ascii="Calibri" w:hAnsi="Calibri"/>
                <w:b/>
                <w:bCs/>
                <w:color w:val="000000"/>
                <w:sz w:val="22"/>
                <w:szCs w:val="22"/>
              </w:rPr>
              <w:t>/</w:t>
            </w:r>
            <w:r>
              <w:rPr>
                <w:rFonts w:ascii="Calibri" w:hAnsi="Calibri"/>
                <w:b/>
                <w:bCs/>
                <w:color w:val="000000"/>
                <w:sz w:val="22"/>
                <w:szCs w:val="22"/>
              </w:rPr>
              <w:t>m</w:t>
            </w:r>
            <w:r w:rsidR="00C20ED5" w:rsidRPr="00C20ED5">
              <w:rPr>
                <w:rFonts w:ascii="Calibri" w:hAnsi="Calibri"/>
                <w:b/>
                <w:bCs/>
                <w:color w:val="000000"/>
                <w:sz w:val="22"/>
                <w:szCs w:val="22"/>
              </w:rPr>
              <w:t xml:space="preserve"> </w:t>
            </w:r>
          </w:p>
        </w:tc>
        <w:tc>
          <w:tcPr>
            <w:tcW w:w="1300" w:type="dxa"/>
            <w:tcBorders>
              <w:top w:val="single" w:sz="8" w:space="0" w:color="auto"/>
              <w:left w:val="nil"/>
              <w:bottom w:val="single" w:sz="8" w:space="0" w:color="auto"/>
              <w:right w:val="single" w:sz="8" w:space="0" w:color="auto"/>
            </w:tcBorders>
            <w:shd w:val="clear" w:color="000000" w:fill="CCFFCC"/>
            <w:vAlign w:val="center"/>
            <w:hideMark/>
          </w:tcPr>
          <w:p w14:paraId="7A0A0740" w14:textId="77777777" w:rsidR="00C20ED5" w:rsidRPr="00C20ED5" w:rsidRDefault="00C20ED5" w:rsidP="00C20ED5">
            <w:pPr>
              <w:jc w:val="center"/>
              <w:rPr>
                <w:rFonts w:ascii="Calibri" w:hAnsi="Calibri"/>
                <w:b/>
                <w:bCs/>
                <w:color w:val="000000"/>
                <w:sz w:val="22"/>
                <w:szCs w:val="22"/>
              </w:rPr>
            </w:pPr>
            <w:r w:rsidRPr="00C20ED5">
              <w:rPr>
                <w:rFonts w:ascii="Calibri" w:hAnsi="Calibri"/>
                <w:b/>
                <w:bCs/>
                <w:color w:val="000000"/>
                <w:sz w:val="22"/>
                <w:szCs w:val="22"/>
              </w:rPr>
              <w:t>Surface</w:t>
            </w:r>
          </w:p>
        </w:tc>
        <w:tc>
          <w:tcPr>
            <w:tcW w:w="1680" w:type="dxa"/>
            <w:tcBorders>
              <w:top w:val="single" w:sz="8" w:space="0" w:color="auto"/>
              <w:left w:val="nil"/>
              <w:bottom w:val="single" w:sz="8" w:space="0" w:color="auto"/>
              <w:right w:val="single" w:sz="8" w:space="0" w:color="auto"/>
            </w:tcBorders>
            <w:shd w:val="clear" w:color="000000" w:fill="CCFFCC"/>
            <w:vAlign w:val="center"/>
            <w:hideMark/>
          </w:tcPr>
          <w:p w14:paraId="6DC51FC1" w14:textId="77777777" w:rsidR="00C20ED5" w:rsidRPr="00C20ED5" w:rsidRDefault="00C20ED5" w:rsidP="00C20ED5">
            <w:pPr>
              <w:jc w:val="center"/>
              <w:rPr>
                <w:rFonts w:ascii="Calibri" w:hAnsi="Calibri"/>
                <w:b/>
                <w:bCs/>
                <w:color w:val="000000"/>
                <w:sz w:val="22"/>
                <w:szCs w:val="22"/>
              </w:rPr>
            </w:pPr>
            <w:r w:rsidRPr="00C20ED5">
              <w:rPr>
                <w:rFonts w:ascii="Calibri" w:hAnsi="Calibri"/>
                <w:b/>
                <w:bCs/>
                <w:color w:val="000000"/>
                <w:sz w:val="22"/>
                <w:szCs w:val="22"/>
              </w:rPr>
              <w:t>Responsibility</w:t>
            </w:r>
          </w:p>
        </w:tc>
        <w:tc>
          <w:tcPr>
            <w:tcW w:w="1300" w:type="dxa"/>
            <w:tcBorders>
              <w:top w:val="single" w:sz="8" w:space="0" w:color="auto"/>
              <w:left w:val="nil"/>
              <w:bottom w:val="single" w:sz="8" w:space="0" w:color="auto"/>
              <w:right w:val="single" w:sz="8" w:space="0" w:color="auto"/>
            </w:tcBorders>
            <w:shd w:val="clear" w:color="000000" w:fill="CCFFCC"/>
            <w:vAlign w:val="center"/>
            <w:hideMark/>
          </w:tcPr>
          <w:p w14:paraId="3E60128B" w14:textId="77777777" w:rsidR="00C20ED5" w:rsidRPr="00C20ED5" w:rsidRDefault="00C20ED5" w:rsidP="00C20ED5">
            <w:pPr>
              <w:jc w:val="center"/>
              <w:rPr>
                <w:rFonts w:ascii="Calibri" w:hAnsi="Calibri"/>
                <w:b/>
                <w:bCs/>
                <w:color w:val="000000"/>
                <w:sz w:val="22"/>
                <w:szCs w:val="22"/>
              </w:rPr>
            </w:pPr>
            <w:r w:rsidRPr="00C20ED5">
              <w:rPr>
                <w:rFonts w:ascii="Calibri" w:hAnsi="Calibri"/>
                <w:b/>
                <w:bCs/>
                <w:color w:val="000000"/>
                <w:sz w:val="22"/>
                <w:szCs w:val="22"/>
              </w:rPr>
              <w:t>Condition</w:t>
            </w:r>
          </w:p>
        </w:tc>
      </w:tr>
      <w:tr w:rsidR="00CA1694" w:rsidRPr="00C20ED5" w14:paraId="2B824B9B"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B1B8A54"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Bangor Water Works Road</w:t>
            </w:r>
          </w:p>
        </w:tc>
        <w:tc>
          <w:tcPr>
            <w:tcW w:w="1300" w:type="dxa"/>
            <w:tcBorders>
              <w:top w:val="nil"/>
              <w:left w:val="nil"/>
              <w:bottom w:val="single" w:sz="8" w:space="0" w:color="auto"/>
              <w:right w:val="single" w:sz="8" w:space="0" w:color="auto"/>
            </w:tcBorders>
            <w:shd w:val="clear" w:color="auto" w:fill="auto"/>
            <w:vAlign w:val="center"/>
            <w:hideMark/>
          </w:tcPr>
          <w:p w14:paraId="7A968C35" w14:textId="67BC67DC" w:rsidR="00CA1694" w:rsidRPr="00C20ED5" w:rsidRDefault="00CA1694" w:rsidP="00C20ED5">
            <w:pPr>
              <w:jc w:val="right"/>
              <w:rPr>
                <w:rFonts w:ascii="Calibri" w:hAnsi="Calibri"/>
                <w:color w:val="000000"/>
                <w:sz w:val="22"/>
                <w:szCs w:val="22"/>
              </w:rPr>
            </w:pPr>
            <w:r>
              <w:rPr>
                <w:rFonts w:ascii="Calibri" w:hAnsi="Calibri"/>
                <w:color w:val="000000"/>
                <w:sz w:val="22"/>
                <w:szCs w:val="22"/>
              </w:rPr>
              <w:t>18,023/5,493</w:t>
            </w:r>
          </w:p>
        </w:tc>
        <w:tc>
          <w:tcPr>
            <w:tcW w:w="1300" w:type="dxa"/>
            <w:tcBorders>
              <w:top w:val="nil"/>
              <w:left w:val="nil"/>
              <w:bottom w:val="single" w:sz="8" w:space="0" w:color="auto"/>
              <w:right w:val="single" w:sz="8" w:space="0" w:color="auto"/>
            </w:tcBorders>
            <w:shd w:val="clear" w:color="auto" w:fill="auto"/>
            <w:vAlign w:val="center"/>
            <w:hideMark/>
          </w:tcPr>
          <w:p w14:paraId="7C8DC955"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Paved</w:t>
            </w:r>
          </w:p>
        </w:tc>
        <w:tc>
          <w:tcPr>
            <w:tcW w:w="1680" w:type="dxa"/>
            <w:tcBorders>
              <w:top w:val="nil"/>
              <w:left w:val="nil"/>
              <w:bottom w:val="single" w:sz="8" w:space="0" w:color="auto"/>
              <w:right w:val="single" w:sz="8" w:space="0" w:color="auto"/>
            </w:tcBorders>
            <w:shd w:val="clear" w:color="auto" w:fill="auto"/>
            <w:vAlign w:val="center"/>
            <w:hideMark/>
          </w:tcPr>
          <w:p w14:paraId="6671BA49"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34047ED4"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Poor to Fair</w:t>
            </w:r>
          </w:p>
        </w:tc>
      </w:tr>
      <w:tr w:rsidR="00CA1694" w:rsidRPr="00C20ED5" w14:paraId="40F6DDA8"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09B42D0"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Beaver Tail Lane</w:t>
            </w:r>
          </w:p>
        </w:tc>
        <w:tc>
          <w:tcPr>
            <w:tcW w:w="1300" w:type="dxa"/>
            <w:tcBorders>
              <w:top w:val="nil"/>
              <w:left w:val="nil"/>
              <w:bottom w:val="single" w:sz="8" w:space="0" w:color="auto"/>
              <w:right w:val="single" w:sz="8" w:space="0" w:color="auto"/>
            </w:tcBorders>
            <w:shd w:val="clear" w:color="auto" w:fill="auto"/>
            <w:vAlign w:val="center"/>
            <w:hideMark/>
          </w:tcPr>
          <w:p w14:paraId="1F5F06AC" w14:textId="2D39E617" w:rsidR="00CA1694" w:rsidRPr="00C20ED5" w:rsidRDefault="00CA1694" w:rsidP="00C20ED5">
            <w:pPr>
              <w:jc w:val="right"/>
              <w:rPr>
                <w:rFonts w:ascii="Calibri" w:hAnsi="Calibri"/>
                <w:color w:val="000000"/>
                <w:sz w:val="22"/>
                <w:szCs w:val="22"/>
              </w:rPr>
            </w:pPr>
            <w:r>
              <w:rPr>
                <w:rFonts w:ascii="Calibri" w:hAnsi="Calibri"/>
                <w:color w:val="000000"/>
                <w:sz w:val="22"/>
                <w:szCs w:val="22"/>
              </w:rPr>
              <w:t>479/146</w:t>
            </w:r>
          </w:p>
        </w:tc>
        <w:tc>
          <w:tcPr>
            <w:tcW w:w="1300" w:type="dxa"/>
            <w:tcBorders>
              <w:top w:val="nil"/>
              <w:left w:val="nil"/>
              <w:bottom w:val="single" w:sz="8" w:space="0" w:color="auto"/>
              <w:right w:val="single" w:sz="8" w:space="0" w:color="auto"/>
            </w:tcBorders>
            <w:shd w:val="clear" w:color="auto" w:fill="auto"/>
            <w:vAlign w:val="center"/>
            <w:hideMark/>
          </w:tcPr>
          <w:p w14:paraId="1B8FB78C"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73813F23"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40601448"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02BA4AD6"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9A24527"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Bobho Road</w:t>
            </w:r>
          </w:p>
        </w:tc>
        <w:tc>
          <w:tcPr>
            <w:tcW w:w="1300" w:type="dxa"/>
            <w:tcBorders>
              <w:top w:val="nil"/>
              <w:left w:val="nil"/>
              <w:bottom w:val="single" w:sz="8" w:space="0" w:color="auto"/>
              <w:right w:val="single" w:sz="8" w:space="0" w:color="auto"/>
            </w:tcBorders>
            <w:shd w:val="clear" w:color="auto" w:fill="auto"/>
            <w:vAlign w:val="center"/>
            <w:hideMark/>
          </w:tcPr>
          <w:p w14:paraId="4143E22D" w14:textId="32C88D29" w:rsidR="00CA1694" w:rsidRPr="00C20ED5" w:rsidRDefault="00CA1694" w:rsidP="00C20ED5">
            <w:pPr>
              <w:jc w:val="right"/>
              <w:rPr>
                <w:rFonts w:ascii="Calibri" w:hAnsi="Calibri"/>
                <w:color w:val="000000"/>
                <w:sz w:val="22"/>
                <w:szCs w:val="22"/>
              </w:rPr>
            </w:pPr>
            <w:r>
              <w:rPr>
                <w:rFonts w:ascii="Calibri" w:hAnsi="Calibri"/>
                <w:color w:val="000000"/>
                <w:sz w:val="22"/>
                <w:szCs w:val="22"/>
              </w:rPr>
              <w:t>487/148</w:t>
            </w:r>
          </w:p>
        </w:tc>
        <w:tc>
          <w:tcPr>
            <w:tcW w:w="1300" w:type="dxa"/>
            <w:tcBorders>
              <w:top w:val="nil"/>
              <w:left w:val="nil"/>
              <w:bottom w:val="single" w:sz="8" w:space="0" w:color="auto"/>
              <w:right w:val="single" w:sz="8" w:space="0" w:color="auto"/>
            </w:tcBorders>
            <w:shd w:val="clear" w:color="auto" w:fill="auto"/>
            <w:vAlign w:val="center"/>
            <w:hideMark/>
          </w:tcPr>
          <w:p w14:paraId="6448BF99"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55EB35F6"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3B81EEFE"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52ADFD76"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FD5AEF0"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Bradbury Brook Road</w:t>
            </w:r>
          </w:p>
        </w:tc>
        <w:tc>
          <w:tcPr>
            <w:tcW w:w="1300" w:type="dxa"/>
            <w:tcBorders>
              <w:top w:val="nil"/>
              <w:left w:val="nil"/>
              <w:bottom w:val="single" w:sz="8" w:space="0" w:color="auto"/>
              <w:right w:val="single" w:sz="8" w:space="0" w:color="auto"/>
            </w:tcBorders>
            <w:shd w:val="clear" w:color="auto" w:fill="auto"/>
            <w:vAlign w:val="center"/>
            <w:hideMark/>
          </w:tcPr>
          <w:p w14:paraId="03A4F3B4" w14:textId="652D9AA6" w:rsidR="00CA1694" w:rsidRPr="00C20ED5" w:rsidRDefault="00CA1694" w:rsidP="00C20ED5">
            <w:pPr>
              <w:jc w:val="right"/>
              <w:rPr>
                <w:rFonts w:ascii="Calibri" w:hAnsi="Calibri"/>
                <w:color w:val="000000"/>
                <w:sz w:val="22"/>
                <w:szCs w:val="22"/>
              </w:rPr>
            </w:pPr>
            <w:r>
              <w:rPr>
                <w:rFonts w:ascii="Calibri" w:hAnsi="Calibri"/>
                <w:color w:val="000000"/>
                <w:sz w:val="22"/>
                <w:szCs w:val="22"/>
              </w:rPr>
              <w:t>4,659/1,420</w:t>
            </w:r>
          </w:p>
        </w:tc>
        <w:tc>
          <w:tcPr>
            <w:tcW w:w="1300" w:type="dxa"/>
            <w:tcBorders>
              <w:top w:val="nil"/>
              <w:left w:val="nil"/>
              <w:bottom w:val="single" w:sz="8" w:space="0" w:color="auto"/>
              <w:right w:val="single" w:sz="8" w:space="0" w:color="auto"/>
            </w:tcBorders>
            <w:shd w:val="clear" w:color="auto" w:fill="auto"/>
            <w:vAlign w:val="center"/>
            <w:hideMark/>
          </w:tcPr>
          <w:p w14:paraId="6A25E195"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4A4BFCE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6030FEDB"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Good</w:t>
            </w:r>
          </w:p>
        </w:tc>
      </w:tr>
      <w:tr w:rsidR="00CA1694" w:rsidRPr="00C20ED5" w14:paraId="3395F47B"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7E172E7"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Brooks Lane</w:t>
            </w:r>
          </w:p>
        </w:tc>
        <w:tc>
          <w:tcPr>
            <w:tcW w:w="1300" w:type="dxa"/>
            <w:tcBorders>
              <w:top w:val="nil"/>
              <w:left w:val="nil"/>
              <w:bottom w:val="single" w:sz="8" w:space="0" w:color="auto"/>
              <w:right w:val="single" w:sz="8" w:space="0" w:color="auto"/>
            </w:tcBorders>
            <w:shd w:val="clear" w:color="auto" w:fill="auto"/>
            <w:vAlign w:val="center"/>
            <w:hideMark/>
          </w:tcPr>
          <w:p w14:paraId="1F01FC5C" w14:textId="15191FA4" w:rsidR="00CA1694" w:rsidRPr="00C20ED5" w:rsidRDefault="00CA1694" w:rsidP="00C20ED5">
            <w:pPr>
              <w:jc w:val="right"/>
              <w:rPr>
                <w:rFonts w:ascii="Calibri" w:hAnsi="Calibri"/>
                <w:color w:val="000000"/>
                <w:sz w:val="22"/>
                <w:szCs w:val="22"/>
              </w:rPr>
            </w:pPr>
            <w:r>
              <w:rPr>
                <w:rFonts w:ascii="Calibri" w:hAnsi="Calibri"/>
                <w:color w:val="000000"/>
                <w:sz w:val="22"/>
                <w:szCs w:val="22"/>
              </w:rPr>
              <w:t>417/127</w:t>
            </w:r>
          </w:p>
        </w:tc>
        <w:tc>
          <w:tcPr>
            <w:tcW w:w="1300" w:type="dxa"/>
            <w:tcBorders>
              <w:top w:val="nil"/>
              <w:left w:val="nil"/>
              <w:bottom w:val="single" w:sz="8" w:space="0" w:color="auto"/>
              <w:right w:val="single" w:sz="8" w:space="0" w:color="auto"/>
            </w:tcBorders>
            <w:shd w:val="clear" w:color="auto" w:fill="auto"/>
            <w:vAlign w:val="center"/>
            <w:hideMark/>
          </w:tcPr>
          <w:p w14:paraId="2A3B1364"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37639F1F"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03DC4028"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3AD00F8A"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AD0E422"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Campbell Lane</w:t>
            </w:r>
          </w:p>
        </w:tc>
        <w:tc>
          <w:tcPr>
            <w:tcW w:w="1300" w:type="dxa"/>
            <w:tcBorders>
              <w:top w:val="nil"/>
              <w:left w:val="nil"/>
              <w:bottom w:val="single" w:sz="8" w:space="0" w:color="auto"/>
              <w:right w:val="single" w:sz="8" w:space="0" w:color="auto"/>
            </w:tcBorders>
            <w:shd w:val="clear" w:color="auto" w:fill="auto"/>
            <w:vAlign w:val="center"/>
            <w:hideMark/>
          </w:tcPr>
          <w:p w14:paraId="5ACCB0D6" w14:textId="3CC03845" w:rsidR="00CA1694" w:rsidRPr="00C20ED5" w:rsidRDefault="00CA1694" w:rsidP="00C20ED5">
            <w:pPr>
              <w:jc w:val="right"/>
              <w:rPr>
                <w:rFonts w:ascii="Calibri" w:hAnsi="Calibri"/>
                <w:color w:val="000000"/>
                <w:sz w:val="22"/>
                <w:szCs w:val="22"/>
              </w:rPr>
            </w:pPr>
            <w:r>
              <w:rPr>
                <w:rFonts w:ascii="Calibri" w:hAnsi="Calibri"/>
                <w:color w:val="000000"/>
                <w:sz w:val="22"/>
                <w:szCs w:val="22"/>
              </w:rPr>
              <w:t>1,753/534</w:t>
            </w:r>
          </w:p>
        </w:tc>
        <w:tc>
          <w:tcPr>
            <w:tcW w:w="1300" w:type="dxa"/>
            <w:tcBorders>
              <w:top w:val="nil"/>
              <w:left w:val="nil"/>
              <w:bottom w:val="single" w:sz="8" w:space="0" w:color="auto"/>
              <w:right w:val="single" w:sz="8" w:space="0" w:color="auto"/>
            </w:tcBorders>
            <w:shd w:val="clear" w:color="auto" w:fill="auto"/>
            <w:vAlign w:val="center"/>
            <w:hideMark/>
          </w:tcPr>
          <w:p w14:paraId="79A8DC54"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5E197382"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117118C6"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0AAF0130"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AF0F008"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Cedar Lane</w:t>
            </w:r>
          </w:p>
        </w:tc>
        <w:tc>
          <w:tcPr>
            <w:tcW w:w="1300" w:type="dxa"/>
            <w:tcBorders>
              <w:top w:val="nil"/>
              <w:left w:val="nil"/>
              <w:bottom w:val="single" w:sz="8" w:space="0" w:color="auto"/>
              <w:right w:val="single" w:sz="8" w:space="0" w:color="auto"/>
            </w:tcBorders>
            <w:shd w:val="clear" w:color="auto" w:fill="auto"/>
            <w:vAlign w:val="center"/>
            <w:hideMark/>
          </w:tcPr>
          <w:p w14:paraId="68354702" w14:textId="456ADBB3" w:rsidR="00CA1694" w:rsidRPr="00C20ED5" w:rsidRDefault="00CA1694" w:rsidP="00C20ED5">
            <w:pPr>
              <w:jc w:val="right"/>
              <w:rPr>
                <w:rFonts w:ascii="Calibri" w:hAnsi="Calibri"/>
                <w:color w:val="000000"/>
                <w:sz w:val="22"/>
                <w:szCs w:val="22"/>
              </w:rPr>
            </w:pPr>
            <w:r>
              <w:rPr>
                <w:rFonts w:ascii="Calibri" w:hAnsi="Calibri"/>
                <w:color w:val="000000"/>
                <w:sz w:val="22"/>
                <w:szCs w:val="22"/>
              </w:rPr>
              <w:t>452/138</w:t>
            </w:r>
          </w:p>
        </w:tc>
        <w:tc>
          <w:tcPr>
            <w:tcW w:w="1300" w:type="dxa"/>
            <w:tcBorders>
              <w:top w:val="nil"/>
              <w:left w:val="nil"/>
              <w:bottom w:val="single" w:sz="8" w:space="0" w:color="auto"/>
              <w:right w:val="single" w:sz="8" w:space="0" w:color="auto"/>
            </w:tcBorders>
            <w:shd w:val="clear" w:color="auto" w:fill="auto"/>
            <w:vAlign w:val="center"/>
            <w:hideMark/>
          </w:tcPr>
          <w:p w14:paraId="5EF20B57"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06A9ECDD"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3FF08F1C"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3EA3842A"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6CD4402"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Dubay Lane</w:t>
            </w:r>
          </w:p>
        </w:tc>
        <w:tc>
          <w:tcPr>
            <w:tcW w:w="1300" w:type="dxa"/>
            <w:tcBorders>
              <w:top w:val="nil"/>
              <w:left w:val="nil"/>
              <w:bottom w:val="single" w:sz="8" w:space="0" w:color="auto"/>
              <w:right w:val="single" w:sz="8" w:space="0" w:color="auto"/>
            </w:tcBorders>
            <w:shd w:val="clear" w:color="auto" w:fill="auto"/>
            <w:vAlign w:val="center"/>
            <w:hideMark/>
          </w:tcPr>
          <w:p w14:paraId="3BB6FC0F" w14:textId="23F4197F" w:rsidR="00CA1694" w:rsidRPr="00C20ED5" w:rsidRDefault="00CA1694" w:rsidP="00C20ED5">
            <w:pPr>
              <w:jc w:val="right"/>
              <w:rPr>
                <w:rFonts w:ascii="Calibri" w:hAnsi="Calibri"/>
                <w:color w:val="000000"/>
                <w:sz w:val="22"/>
                <w:szCs w:val="22"/>
              </w:rPr>
            </w:pPr>
            <w:r>
              <w:rPr>
                <w:rFonts w:ascii="Calibri" w:hAnsi="Calibri"/>
                <w:color w:val="000000"/>
                <w:sz w:val="22"/>
                <w:szCs w:val="22"/>
              </w:rPr>
              <w:t>351/107</w:t>
            </w:r>
          </w:p>
        </w:tc>
        <w:tc>
          <w:tcPr>
            <w:tcW w:w="1300" w:type="dxa"/>
            <w:tcBorders>
              <w:top w:val="nil"/>
              <w:left w:val="nil"/>
              <w:bottom w:val="single" w:sz="8" w:space="0" w:color="auto"/>
              <w:right w:val="single" w:sz="8" w:space="0" w:color="auto"/>
            </w:tcBorders>
            <w:shd w:val="clear" w:color="auto" w:fill="auto"/>
            <w:vAlign w:val="center"/>
            <w:hideMark/>
          </w:tcPr>
          <w:p w14:paraId="75F0A4B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2BEADA97"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6BD0A6FF"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3A7E75AA"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2121F18"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East Hopkins Pond Road</w:t>
            </w:r>
          </w:p>
        </w:tc>
        <w:tc>
          <w:tcPr>
            <w:tcW w:w="1300" w:type="dxa"/>
            <w:tcBorders>
              <w:top w:val="nil"/>
              <w:left w:val="nil"/>
              <w:bottom w:val="single" w:sz="8" w:space="0" w:color="auto"/>
              <w:right w:val="single" w:sz="8" w:space="0" w:color="auto"/>
            </w:tcBorders>
            <w:shd w:val="clear" w:color="auto" w:fill="auto"/>
            <w:vAlign w:val="center"/>
            <w:hideMark/>
          </w:tcPr>
          <w:p w14:paraId="2C3F9B69" w14:textId="47D3F74E" w:rsidR="00CA1694" w:rsidRPr="00C20ED5" w:rsidRDefault="00CA1694" w:rsidP="00C20ED5">
            <w:pPr>
              <w:jc w:val="right"/>
              <w:rPr>
                <w:rFonts w:ascii="Calibri" w:hAnsi="Calibri"/>
                <w:color w:val="000000"/>
                <w:sz w:val="22"/>
                <w:szCs w:val="22"/>
              </w:rPr>
            </w:pPr>
            <w:r>
              <w:rPr>
                <w:rFonts w:ascii="Calibri" w:hAnsi="Calibri"/>
                <w:color w:val="000000"/>
                <w:sz w:val="22"/>
                <w:szCs w:val="22"/>
              </w:rPr>
              <w:t>1,810/552</w:t>
            </w:r>
          </w:p>
        </w:tc>
        <w:tc>
          <w:tcPr>
            <w:tcW w:w="1300" w:type="dxa"/>
            <w:tcBorders>
              <w:top w:val="nil"/>
              <w:left w:val="nil"/>
              <w:bottom w:val="single" w:sz="8" w:space="0" w:color="auto"/>
              <w:right w:val="single" w:sz="8" w:space="0" w:color="auto"/>
            </w:tcBorders>
            <w:shd w:val="clear" w:color="auto" w:fill="auto"/>
            <w:vAlign w:val="center"/>
            <w:hideMark/>
          </w:tcPr>
          <w:p w14:paraId="1F39CDC2"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0797515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531728A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1108E817"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074D80C"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Erickson Road</w:t>
            </w:r>
          </w:p>
        </w:tc>
        <w:tc>
          <w:tcPr>
            <w:tcW w:w="1300" w:type="dxa"/>
            <w:tcBorders>
              <w:top w:val="nil"/>
              <w:left w:val="nil"/>
              <w:bottom w:val="single" w:sz="8" w:space="0" w:color="auto"/>
              <w:right w:val="single" w:sz="8" w:space="0" w:color="auto"/>
            </w:tcBorders>
            <w:shd w:val="clear" w:color="auto" w:fill="auto"/>
            <w:vAlign w:val="center"/>
            <w:hideMark/>
          </w:tcPr>
          <w:p w14:paraId="3D90FD4E" w14:textId="42FCA420" w:rsidR="00CA1694" w:rsidRPr="00C20ED5" w:rsidRDefault="00CA1694" w:rsidP="00C20ED5">
            <w:pPr>
              <w:jc w:val="right"/>
              <w:rPr>
                <w:rFonts w:ascii="Calibri" w:hAnsi="Calibri"/>
                <w:color w:val="000000"/>
                <w:sz w:val="22"/>
                <w:szCs w:val="22"/>
              </w:rPr>
            </w:pPr>
            <w:r>
              <w:rPr>
                <w:rFonts w:ascii="Calibri" w:hAnsi="Calibri"/>
                <w:color w:val="000000"/>
                <w:sz w:val="22"/>
                <w:szCs w:val="22"/>
              </w:rPr>
              <w:t>1,969/600</w:t>
            </w:r>
          </w:p>
        </w:tc>
        <w:tc>
          <w:tcPr>
            <w:tcW w:w="1300" w:type="dxa"/>
            <w:tcBorders>
              <w:top w:val="nil"/>
              <w:left w:val="nil"/>
              <w:bottom w:val="single" w:sz="8" w:space="0" w:color="auto"/>
              <w:right w:val="single" w:sz="8" w:space="0" w:color="auto"/>
            </w:tcBorders>
            <w:shd w:val="clear" w:color="auto" w:fill="auto"/>
            <w:vAlign w:val="center"/>
            <w:hideMark/>
          </w:tcPr>
          <w:p w14:paraId="7E5274F8"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3C5E53EB"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09C621BC"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1D2CCEE8"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DBC7613"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German Cove Road</w:t>
            </w:r>
          </w:p>
        </w:tc>
        <w:tc>
          <w:tcPr>
            <w:tcW w:w="1300" w:type="dxa"/>
            <w:tcBorders>
              <w:top w:val="nil"/>
              <w:left w:val="nil"/>
              <w:bottom w:val="single" w:sz="8" w:space="0" w:color="auto"/>
              <w:right w:val="single" w:sz="8" w:space="0" w:color="auto"/>
            </w:tcBorders>
            <w:shd w:val="clear" w:color="auto" w:fill="auto"/>
            <w:vAlign w:val="center"/>
            <w:hideMark/>
          </w:tcPr>
          <w:p w14:paraId="620A87D3" w14:textId="05F8389E" w:rsidR="00CA1694" w:rsidRPr="00C20ED5" w:rsidRDefault="00CA1694" w:rsidP="00C20ED5">
            <w:pPr>
              <w:jc w:val="right"/>
              <w:rPr>
                <w:rFonts w:ascii="Calibri" w:hAnsi="Calibri"/>
                <w:color w:val="000000"/>
                <w:sz w:val="22"/>
                <w:szCs w:val="22"/>
              </w:rPr>
            </w:pPr>
            <w:r>
              <w:rPr>
                <w:rFonts w:ascii="Calibri" w:hAnsi="Calibri"/>
                <w:color w:val="000000"/>
                <w:sz w:val="22"/>
                <w:szCs w:val="22"/>
              </w:rPr>
              <w:t>1,784/544</w:t>
            </w:r>
          </w:p>
        </w:tc>
        <w:tc>
          <w:tcPr>
            <w:tcW w:w="1300" w:type="dxa"/>
            <w:tcBorders>
              <w:top w:val="nil"/>
              <w:left w:val="nil"/>
              <w:bottom w:val="single" w:sz="8" w:space="0" w:color="auto"/>
              <w:right w:val="single" w:sz="8" w:space="0" w:color="auto"/>
            </w:tcBorders>
            <w:shd w:val="clear" w:color="auto" w:fill="auto"/>
            <w:vAlign w:val="center"/>
            <w:hideMark/>
          </w:tcPr>
          <w:p w14:paraId="49098A16"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0E033F11"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2D97372F"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Poor</w:t>
            </w:r>
          </w:p>
        </w:tc>
      </w:tr>
      <w:tr w:rsidR="00CA1694" w:rsidRPr="00C20ED5" w14:paraId="244EA30A"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B0A6309"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Getchell Road Cont'd</w:t>
            </w:r>
          </w:p>
        </w:tc>
        <w:tc>
          <w:tcPr>
            <w:tcW w:w="1300" w:type="dxa"/>
            <w:tcBorders>
              <w:top w:val="nil"/>
              <w:left w:val="nil"/>
              <w:bottom w:val="single" w:sz="8" w:space="0" w:color="auto"/>
              <w:right w:val="single" w:sz="8" w:space="0" w:color="auto"/>
            </w:tcBorders>
            <w:shd w:val="clear" w:color="auto" w:fill="auto"/>
            <w:vAlign w:val="center"/>
            <w:hideMark/>
          </w:tcPr>
          <w:p w14:paraId="3886386C" w14:textId="15EFC5EA" w:rsidR="00CA1694" w:rsidRPr="00C20ED5" w:rsidRDefault="00CA1694" w:rsidP="00C20ED5">
            <w:pPr>
              <w:jc w:val="right"/>
              <w:rPr>
                <w:rFonts w:ascii="Calibri" w:hAnsi="Calibri"/>
                <w:color w:val="000000"/>
                <w:sz w:val="22"/>
                <w:szCs w:val="22"/>
              </w:rPr>
            </w:pPr>
            <w:r>
              <w:rPr>
                <w:rFonts w:ascii="Calibri" w:hAnsi="Calibri"/>
                <w:color w:val="000000"/>
                <w:sz w:val="22"/>
                <w:szCs w:val="22"/>
              </w:rPr>
              <w:t>1,200/366</w:t>
            </w:r>
          </w:p>
        </w:tc>
        <w:tc>
          <w:tcPr>
            <w:tcW w:w="1300" w:type="dxa"/>
            <w:tcBorders>
              <w:top w:val="nil"/>
              <w:left w:val="nil"/>
              <w:bottom w:val="single" w:sz="8" w:space="0" w:color="auto"/>
              <w:right w:val="single" w:sz="8" w:space="0" w:color="auto"/>
            </w:tcBorders>
            <w:shd w:val="clear" w:color="auto" w:fill="auto"/>
            <w:vAlign w:val="center"/>
            <w:hideMark/>
          </w:tcPr>
          <w:p w14:paraId="102F4D25"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01AF49FB"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3CB5C4E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7F8118F8"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7D1830E"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Hendrickson Lane</w:t>
            </w:r>
          </w:p>
        </w:tc>
        <w:tc>
          <w:tcPr>
            <w:tcW w:w="1300" w:type="dxa"/>
            <w:tcBorders>
              <w:top w:val="nil"/>
              <w:left w:val="nil"/>
              <w:bottom w:val="single" w:sz="8" w:space="0" w:color="auto"/>
              <w:right w:val="single" w:sz="8" w:space="0" w:color="auto"/>
            </w:tcBorders>
            <w:shd w:val="clear" w:color="auto" w:fill="auto"/>
            <w:vAlign w:val="center"/>
            <w:hideMark/>
          </w:tcPr>
          <w:p w14:paraId="3B9DBAC7" w14:textId="4B5586F1" w:rsidR="00CA1694" w:rsidRPr="00C20ED5" w:rsidRDefault="00CA1694" w:rsidP="00C20ED5">
            <w:pPr>
              <w:jc w:val="right"/>
              <w:rPr>
                <w:rFonts w:ascii="Calibri" w:hAnsi="Calibri"/>
                <w:color w:val="000000"/>
                <w:sz w:val="22"/>
                <w:szCs w:val="22"/>
              </w:rPr>
            </w:pPr>
            <w:r>
              <w:rPr>
                <w:rFonts w:ascii="Calibri" w:hAnsi="Calibri"/>
                <w:color w:val="000000"/>
                <w:sz w:val="22"/>
                <w:szCs w:val="22"/>
              </w:rPr>
              <w:t>1,148/350</w:t>
            </w:r>
          </w:p>
        </w:tc>
        <w:tc>
          <w:tcPr>
            <w:tcW w:w="1300" w:type="dxa"/>
            <w:tcBorders>
              <w:top w:val="nil"/>
              <w:left w:val="nil"/>
              <w:bottom w:val="single" w:sz="8" w:space="0" w:color="auto"/>
              <w:right w:val="single" w:sz="8" w:space="0" w:color="auto"/>
            </w:tcBorders>
            <w:shd w:val="clear" w:color="auto" w:fill="auto"/>
            <w:vAlign w:val="center"/>
            <w:hideMark/>
          </w:tcPr>
          <w:p w14:paraId="2D134687"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5785618A"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32FBC353"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2B2B07C4"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6A7EFC9"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Hopkins Pond Road</w:t>
            </w:r>
          </w:p>
        </w:tc>
        <w:tc>
          <w:tcPr>
            <w:tcW w:w="1300" w:type="dxa"/>
            <w:tcBorders>
              <w:top w:val="nil"/>
              <w:left w:val="nil"/>
              <w:bottom w:val="single" w:sz="8" w:space="0" w:color="auto"/>
              <w:right w:val="single" w:sz="8" w:space="0" w:color="auto"/>
            </w:tcBorders>
            <w:shd w:val="clear" w:color="auto" w:fill="auto"/>
            <w:vAlign w:val="center"/>
            <w:hideMark/>
          </w:tcPr>
          <w:p w14:paraId="43A6B814" w14:textId="069DA83E" w:rsidR="00CA1694" w:rsidRPr="00C20ED5" w:rsidRDefault="00CA1694" w:rsidP="00C20ED5">
            <w:pPr>
              <w:jc w:val="right"/>
              <w:rPr>
                <w:rFonts w:ascii="Calibri" w:hAnsi="Calibri"/>
                <w:color w:val="000000"/>
                <w:sz w:val="22"/>
                <w:szCs w:val="22"/>
              </w:rPr>
            </w:pPr>
            <w:r>
              <w:rPr>
                <w:rFonts w:ascii="Calibri" w:hAnsi="Calibri"/>
                <w:color w:val="000000"/>
                <w:sz w:val="22"/>
                <w:szCs w:val="22"/>
              </w:rPr>
              <w:t>8,231/2,509</w:t>
            </w:r>
          </w:p>
        </w:tc>
        <w:tc>
          <w:tcPr>
            <w:tcW w:w="1300" w:type="dxa"/>
            <w:tcBorders>
              <w:top w:val="nil"/>
              <w:left w:val="nil"/>
              <w:bottom w:val="single" w:sz="8" w:space="0" w:color="auto"/>
              <w:right w:val="single" w:sz="8" w:space="0" w:color="auto"/>
            </w:tcBorders>
            <w:shd w:val="clear" w:color="auto" w:fill="auto"/>
            <w:vAlign w:val="center"/>
            <w:hideMark/>
          </w:tcPr>
          <w:p w14:paraId="6DF0AABC"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44D2D579"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67546171"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1C4A9F60"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CD5AA45"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Ireland Lane</w:t>
            </w:r>
          </w:p>
        </w:tc>
        <w:tc>
          <w:tcPr>
            <w:tcW w:w="1300" w:type="dxa"/>
            <w:tcBorders>
              <w:top w:val="nil"/>
              <w:left w:val="nil"/>
              <w:bottom w:val="single" w:sz="8" w:space="0" w:color="auto"/>
              <w:right w:val="single" w:sz="8" w:space="0" w:color="auto"/>
            </w:tcBorders>
            <w:shd w:val="clear" w:color="auto" w:fill="auto"/>
            <w:vAlign w:val="center"/>
            <w:hideMark/>
          </w:tcPr>
          <w:p w14:paraId="1BF1D829" w14:textId="2507BA3E" w:rsidR="00CA1694" w:rsidRPr="00C20ED5" w:rsidRDefault="00CA1694" w:rsidP="00C20ED5">
            <w:pPr>
              <w:jc w:val="right"/>
              <w:rPr>
                <w:rFonts w:ascii="Calibri" w:hAnsi="Calibri"/>
                <w:color w:val="000000"/>
                <w:sz w:val="22"/>
                <w:szCs w:val="22"/>
              </w:rPr>
            </w:pPr>
            <w:r>
              <w:rPr>
                <w:rFonts w:ascii="Calibri" w:hAnsi="Calibri"/>
                <w:color w:val="000000"/>
                <w:sz w:val="22"/>
                <w:szCs w:val="22"/>
              </w:rPr>
              <w:t>381/116</w:t>
            </w:r>
          </w:p>
        </w:tc>
        <w:tc>
          <w:tcPr>
            <w:tcW w:w="1300" w:type="dxa"/>
            <w:tcBorders>
              <w:top w:val="nil"/>
              <w:left w:val="nil"/>
              <w:bottom w:val="single" w:sz="8" w:space="0" w:color="auto"/>
              <w:right w:val="single" w:sz="8" w:space="0" w:color="auto"/>
            </w:tcBorders>
            <w:shd w:val="clear" w:color="auto" w:fill="auto"/>
            <w:vAlign w:val="center"/>
            <w:hideMark/>
          </w:tcPr>
          <w:p w14:paraId="27FE4E2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6207E21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637861BE"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639704CC"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5D0E82F"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Journeys End Lane</w:t>
            </w:r>
          </w:p>
        </w:tc>
        <w:tc>
          <w:tcPr>
            <w:tcW w:w="1300" w:type="dxa"/>
            <w:tcBorders>
              <w:top w:val="nil"/>
              <w:left w:val="nil"/>
              <w:bottom w:val="single" w:sz="8" w:space="0" w:color="auto"/>
              <w:right w:val="single" w:sz="8" w:space="0" w:color="auto"/>
            </w:tcBorders>
            <w:shd w:val="clear" w:color="auto" w:fill="auto"/>
            <w:vAlign w:val="center"/>
            <w:hideMark/>
          </w:tcPr>
          <w:p w14:paraId="6A6849C2" w14:textId="45DE821E" w:rsidR="00CA1694" w:rsidRPr="00C20ED5" w:rsidRDefault="00CA1694" w:rsidP="00C20ED5">
            <w:pPr>
              <w:jc w:val="right"/>
              <w:rPr>
                <w:rFonts w:ascii="Calibri" w:hAnsi="Calibri"/>
                <w:color w:val="000000"/>
                <w:sz w:val="22"/>
                <w:szCs w:val="22"/>
              </w:rPr>
            </w:pPr>
            <w:r>
              <w:rPr>
                <w:rFonts w:ascii="Calibri" w:hAnsi="Calibri"/>
                <w:color w:val="000000"/>
                <w:sz w:val="22"/>
                <w:szCs w:val="22"/>
              </w:rPr>
              <w:t>703/214</w:t>
            </w:r>
          </w:p>
        </w:tc>
        <w:tc>
          <w:tcPr>
            <w:tcW w:w="1300" w:type="dxa"/>
            <w:tcBorders>
              <w:top w:val="nil"/>
              <w:left w:val="nil"/>
              <w:bottom w:val="single" w:sz="8" w:space="0" w:color="auto"/>
              <w:right w:val="single" w:sz="8" w:space="0" w:color="auto"/>
            </w:tcBorders>
            <w:shd w:val="clear" w:color="auto" w:fill="auto"/>
            <w:vAlign w:val="center"/>
            <w:hideMark/>
          </w:tcPr>
          <w:p w14:paraId="3DE28CE4"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3743D282"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3FEF8A3C"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4928B02D"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3A0009E"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Lear Lane</w:t>
            </w:r>
          </w:p>
        </w:tc>
        <w:tc>
          <w:tcPr>
            <w:tcW w:w="1300" w:type="dxa"/>
            <w:tcBorders>
              <w:top w:val="nil"/>
              <w:left w:val="nil"/>
              <w:bottom w:val="single" w:sz="8" w:space="0" w:color="auto"/>
              <w:right w:val="single" w:sz="8" w:space="0" w:color="auto"/>
            </w:tcBorders>
            <w:shd w:val="clear" w:color="auto" w:fill="auto"/>
            <w:vAlign w:val="center"/>
            <w:hideMark/>
          </w:tcPr>
          <w:p w14:paraId="1C448691" w14:textId="21EC7D14" w:rsidR="00CA1694" w:rsidRPr="00C20ED5" w:rsidRDefault="00CA1694" w:rsidP="00C20ED5">
            <w:pPr>
              <w:jc w:val="right"/>
              <w:rPr>
                <w:rFonts w:ascii="Calibri" w:hAnsi="Calibri"/>
                <w:color w:val="000000"/>
                <w:sz w:val="22"/>
                <w:szCs w:val="22"/>
              </w:rPr>
            </w:pPr>
            <w:r>
              <w:rPr>
                <w:rFonts w:ascii="Calibri" w:hAnsi="Calibri"/>
                <w:color w:val="000000"/>
                <w:sz w:val="22"/>
                <w:szCs w:val="22"/>
              </w:rPr>
              <w:t>450/137</w:t>
            </w:r>
          </w:p>
        </w:tc>
        <w:tc>
          <w:tcPr>
            <w:tcW w:w="1300" w:type="dxa"/>
            <w:tcBorders>
              <w:top w:val="nil"/>
              <w:left w:val="nil"/>
              <w:bottom w:val="single" w:sz="8" w:space="0" w:color="auto"/>
              <w:right w:val="single" w:sz="8" w:space="0" w:color="auto"/>
            </w:tcBorders>
            <w:shd w:val="clear" w:color="auto" w:fill="auto"/>
            <w:vAlign w:val="center"/>
            <w:hideMark/>
          </w:tcPr>
          <w:p w14:paraId="0BEB220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56840BC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22C3B5F8"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078788CE"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8FB9A52"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Maple Lane</w:t>
            </w:r>
          </w:p>
        </w:tc>
        <w:tc>
          <w:tcPr>
            <w:tcW w:w="1300" w:type="dxa"/>
            <w:tcBorders>
              <w:top w:val="nil"/>
              <w:left w:val="nil"/>
              <w:bottom w:val="single" w:sz="8" w:space="0" w:color="auto"/>
              <w:right w:val="single" w:sz="8" w:space="0" w:color="auto"/>
            </w:tcBorders>
            <w:shd w:val="clear" w:color="auto" w:fill="auto"/>
            <w:vAlign w:val="center"/>
            <w:hideMark/>
          </w:tcPr>
          <w:p w14:paraId="275C0BD0" w14:textId="43990A2D" w:rsidR="00CA1694" w:rsidRPr="00C20ED5" w:rsidRDefault="00CA1694" w:rsidP="00C20ED5">
            <w:pPr>
              <w:jc w:val="right"/>
              <w:rPr>
                <w:rFonts w:ascii="Calibri" w:hAnsi="Calibri"/>
                <w:color w:val="000000"/>
                <w:sz w:val="22"/>
                <w:szCs w:val="22"/>
              </w:rPr>
            </w:pPr>
            <w:r>
              <w:rPr>
                <w:rFonts w:ascii="Calibri" w:hAnsi="Calibri"/>
                <w:color w:val="000000"/>
                <w:sz w:val="22"/>
                <w:szCs w:val="22"/>
              </w:rPr>
              <w:t>1,118/341</w:t>
            </w:r>
          </w:p>
        </w:tc>
        <w:tc>
          <w:tcPr>
            <w:tcW w:w="1300" w:type="dxa"/>
            <w:tcBorders>
              <w:top w:val="nil"/>
              <w:left w:val="nil"/>
              <w:bottom w:val="single" w:sz="8" w:space="0" w:color="auto"/>
              <w:right w:val="single" w:sz="8" w:space="0" w:color="auto"/>
            </w:tcBorders>
            <w:shd w:val="clear" w:color="auto" w:fill="auto"/>
            <w:vAlign w:val="center"/>
            <w:hideMark/>
          </w:tcPr>
          <w:p w14:paraId="113E041B"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1330359C"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3B85652F"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4FDA118C"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597FA4F"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Middle Pond Road</w:t>
            </w:r>
          </w:p>
        </w:tc>
        <w:tc>
          <w:tcPr>
            <w:tcW w:w="1300" w:type="dxa"/>
            <w:tcBorders>
              <w:top w:val="nil"/>
              <w:left w:val="nil"/>
              <w:bottom w:val="single" w:sz="8" w:space="0" w:color="auto"/>
              <w:right w:val="single" w:sz="8" w:space="0" w:color="auto"/>
            </w:tcBorders>
            <w:shd w:val="clear" w:color="auto" w:fill="auto"/>
            <w:vAlign w:val="center"/>
            <w:hideMark/>
          </w:tcPr>
          <w:p w14:paraId="626AA0BC" w14:textId="5FDCCEA4" w:rsidR="00CA1694" w:rsidRPr="00C20ED5" w:rsidRDefault="00CA1694" w:rsidP="00C20ED5">
            <w:pPr>
              <w:jc w:val="right"/>
              <w:rPr>
                <w:rFonts w:ascii="Calibri" w:hAnsi="Calibri"/>
                <w:color w:val="000000"/>
                <w:sz w:val="22"/>
                <w:szCs w:val="22"/>
              </w:rPr>
            </w:pPr>
            <w:r>
              <w:rPr>
                <w:rFonts w:ascii="Calibri" w:hAnsi="Calibri"/>
                <w:color w:val="000000"/>
                <w:sz w:val="22"/>
                <w:szCs w:val="22"/>
              </w:rPr>
              <w:t>2,990/911</w:t>
            </w:r>
          </w:p>
        </w:tc>
        <w:tc>
          <w:tcPr>
            <w:tcW w:w="1300" w:type="dxa"/>
            <w:tcBorders>
              <w:top w:val="nil"/>
              <w:left w:val="nil"/>
              <w:bottom w:val="single" w:sz="8" w:space="0" w:color="auto"/>
              <w:right w:val="single" w:sz="8" w:space="0" w:color="auto"/>
            </w:tcBorders>
            <w:shd w:val="clear" w:color="auto" w:fill="auto"/>
            <w:vAlign w:val="center"/>
            <w:hideMark/>
          </w:tcPr>
          <w:p w14:paraId="2FA525D6"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6DA95EE7"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15AAADCB"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78199A38"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BE008AA"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Mill Lane Cont'd</w:t>
            </w:r>
          </w:p>
        </w:tc>
        <w:tc>
          <w:tcPr>
            <w:tcW w:w="1300" w:type="dxa"/>
            <w:tcBorders>
              <w:top w:val="nil"/>
              <w:left w:val="nil"/>
              <w:bottom w:val="single" w:sz="8" w:space="0" w:color="auto"/>
              <w:right w:val="single" w:sz="8" w:space="0" w:color="auto"/>
            </w:tcBorders>
            <w:shd w:val="clear" w:color="auto" w:fill="auto"/>
            <w:vAlign w:val="center"/>
            <w:hideMark/>
          </w:tcPr>
          <w:p w14:paraId="5CB955AC" w14:textId="03E388AE" w:rsidR="00CA1694" w:rsidRPr="00C20ED5" w:rsidRDefault="00CA1694" w:rsidP="00C20ED5">
            <w:pPr>
              <w:jc w:val="right"/>
              <w:rPr>
                <w:rFonts w:ascii="Calibri" w:hAnsi="Calibri"/>
                <w:color w:val="000000"/>
                <w:sz w:val="22"/>
                <w:szCs w:val="22"/>
              </w:rPr>
            </w:pPr>
            <w:r>
              <w:rPr>
                <w:rFonts w:ascii="Calibri" w:hAnsi="Calibri"/>
                <w:color w:val="000000"/>
                <w:sz w:val="22"/>
                <w:szCs w:val="22"/>
              </w:rPr>
              <w:t>2,400/732</w:t>
            </w:r>
          </w:p>
        </w:tc>
        <w:tc>
          <w:tcPr>
            <w:tcW w:w="1300" w:type="dxa"/>
            <w:tcBorders>
              <w:top w:val="nil"/>
              <w:left w:val="nil"/>
              <w:bottom w:val="single" w:sz="8" w:space="0" w:color="auto"/>
              <w:right w:val="single" w:sz="8" w:space="0" w:color="auto"/>
            </w:tcBorders>
            <w:shd w:val="clear" w:color="auto" w:fill="auto"/>
            <w:vAlign w:val="center"/>
            <w:hideMark/>
          </w:tcPr>
          <w:p w14:paraId="4D188153"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40261ED3"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11795E0C"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6E537971"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93E4877"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Nickerson Hill Cont'd</w:t>
            </w:r>
          </w:p>
        </w:tc>
        <w:tc>
          <w:tcPr>
            <w:tcW w:w="1300" w:type="dxa"/>
            <w:tcBorders>
              <w:top w:val="nil"/>
              <w:left w:val="nil"/>
              <w:bottom w:val="single" w:sz="8" w:space="0" w:color="auto"/>
              <w:right w:val="single" w:sz="8" w:space="0" w:color="auto"/>
            </w:tcBorders>
            <w:shd w:val="clear" w:color="auto" w:fill="auto"/>
            <w:vAlign w:val="center"/>
            <w:hideMark/>
          </w:tcPr>
          <w:p w14:paraId="356EA2EC" w14:textId="3AEE24C4" w:rsidR="00CA1694" w:rsidRPr="00C20ED5" w:rsidRDefault="00CA1694" w:rsidP="00C20ED5">
            <w:pPr>
              <w:jc w:val="right"/>
              <w:rPr>
                <w:rFonts w:ascii="Calibri" w:hAnsi="Calibri"/>
                <w:color w:val="000000"/>
                <w:sz w:val="22"/>
                <w:szCs w:val="22"/>
              </w:rPr>
            </w:pPr>
            <w:r>
              <w:rPr>
                <w:rFonts w:ascii="Calibri" w:hAnsi="Calibri"/>
                <w:color w:val="000000"/>
                <w:sz w:val="22"/>
                <w:szCs w:val="22"/>
              </w:rPr>
              <w:t>1,000/305</w:t>
            </w:r>
          </w:p>
        </w:tc>
        <w:tc>
          <w:tcPr>
            <w:tcW w:w="1300" w:type="dxa"/>
            <w:tcBorders>
              <w:top w:val="nil"/>
              <w:left w:val="nil"/>
              <w:bottom w:val="single" w:sz="8" w:space="0" w:color="auto"/>
              <w:right w:val="single" w:sz="8" w:space="0" w:color="auto"/>
            </w:tcBorders>
            <w:shd w:val="clear" w:color="auto" w:fill="auto"/>
            <w:vAlign w:val="center"/>
            <w:hideMark/>
          </w:tcPr>
          <w:p w14:paraId="706CF938"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1FA1D01B"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1DB971E7"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4C061F3D"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366CBAE"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Outlet Lane</w:t>
            </w:r>
          </w:p>
        </w:tc>
        <w:tc>
          <w:tcPr>
            <w:tcW w:w="1300" w:type="dxa"/>
            <w:tcBorders>
              <w:top w:val="nil"/>
              <w:left w:val="nil"/>
              <w:bottom w:val="single" w:sz="8" w:space="0" w:color="auto"/>
              <w:right w:val="single" w:sz="8" w:space="0" w:color="auto"/>
            </w:tcBorders>
            <w:shd w:val="clear" w:color="auto" w:fill="auto"/>
            <w:vAlign w:val="center"/>
            <w:hideMark/>
          </w:tcPr>
          <w:p w14:paraId="69A08DC7" w14:textId="2D418980" w:rsidR="00CA1694" w:rsidRPr="00C20ED5" w:rsidRDefault="00CA1694" w:rsidP="00C20ED5">
            <w:pPr>
              <w:jc w:val="right"/>
              <w:rPr>
                <w:rFonts w:ascii="Calibri" w:hAnsi="Calibri"/>
                <w:color w:val="000000"/>
                <w:sz w:val="22"/>
                <w:szCs w:val="22"/>
              </w:rPr>
            </w:pPr>
            <w:r>
              <w:rPr>
                <w:rFonts w:ascii="Calibri" w:hAnsi="Calibri"/>
                <w:color w:val="000000"/>
                <w:sz w:val="22"/>
                <w:szCs w:val="22"/>
              </w:rPr>
              <w:t>1,087/331</w:t>
            </w:r>
          </w:p>
        </w:tc>
        <w:tc>
          <w:tcPr>
            <w:tcW w:w="1300" w:type="dxa"/>
            <w:tcBorders>
              <w:top w:val="nil"/>
              <w:left w:val="nil"/>
              <w:bottom w:val="single" w:sz="8" w:space="0" w:color="auto"/>
              <w:right w:val="single" w:sz="8" w:space="0" w:color="auto"/>
            </w:tcBorders>
            <w:shd w:val="clear" w:color="auto" w:fill="auto"/>
            <w:vAlign w:val="center"/>
            <w:hideMark/>
          </w:tcPr>
          <w:p w14:paraId="4F6BF4A4"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7B95204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23032DF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4889BCB0"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1E932D7"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Paradise Cove</w:t>
            </w:r>
          </w:p>
        </w:tc>
        <w:tc>
          <w:tcPr>
            <w:tcW w:w="1300" w:type="dxa"/>
            <w:tcBorders>
              <w:top w:val="nil"/>
              <w:left w:val="nil"/>
              <w:bottom w:val="single" w:sz="8" w:space="0" w:color="auto"/>
              <w:right w:val="single" w:sz="8" w:space="0" w:color="auto"/>
            </w:tcBorders>
            <w:shd w:val="clear" w:color="auto" w:fill="auto"/>
            <w:vAlign w:val="center"/>
            <w:hideMark/>
          </w:tcPr>
          <w:p w14:paraId="0A50271E" w14:textId="564D2DE2" w:rsidR="00CA1694" w:rsidRPr="00C20ED5" w:rsidRDefault="00CA1694" w:rsidP="00C20ED5">
            <w:pPr>
              <w:jc w:val="right"/>
              <w:rPr>
                <w:rFonts w:ascii="Calibri" w:hAnsi="Calibri"/>
                <w:color w:val="000000"/>
                <w:sz w:val="22"/>
                <w:szCs w:val="22"/>
              </w:rPr>
            </w:pPr>
            <w:r>
              <w:rPr>
                <w:rFonts w:ascii="Calibri" w:hAnsi="Calibri"/>
                <w:color w:val="000000"/>
                <w:sz w:val="22"/>
                <w:szCs w:val="22"/>
              </w:rPr>
              <w:t>284/87</w:t>
            </w:r>
          </w:p>
        </w:tc>
        <w:tc>
          <w:tcPr>
            <w:tcW w:w="1300" w:type="dxa"/>
            <w:tcBorders>
              <w:top w:val="nil"/>
              <w:left w:val="nil"/>
              <w:bottom w:val="single" w:sz="8" w:space="0" w:color="auto"/>
              <w:right w:val="single" w:sz="8" w:space="0" w:color="auto"/>
            </w:tcBorders>
            <w:shd w:val="clear" w:color="auto" w:fill="auto"/>
            <w:vAlign w:val="center"/>
            <w:hideMark/>
          </w:tcPr>
          <w:p w14:paraId="3FF9688A"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5E2C4A47"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642A5EF5"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445FEF63"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718840D"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Parks Pond Lane</w:t>
            </w:r>
          </w:p>
        </w:tc>
        <w:tc>
          <w:tcPr>
            <w:tcW w:w="1300" w:type="dxa"/>
            <w:tcBorders>
              <w:top w:val="nil"/>
              <w:left w:val="nil"/>
              <w:bottom w:val="single" w:sz="8" w:space="0" w:color="auto"/>
              <w:right w:val="single" w:sz="8" w:space="0" w:color="auto"/>
            </w:tcBorders>
            <w:shd w:val="clear" w:color="auto" w:fill="auto"/>
            <w:vAlign w:val="center"/>
            <w:hideMark/>
          </w:tcPr>
          <w:p w14:paraId="328ED7F1" w14:textId="3BA02E27" w:rsidR="00CA1694" w:rsidRPr="00C20ED5" w:rsidRDefault="00CA1694" w:rsidP="00C20ED5">
            <w:pPr>
              <w:jc w:val="right"/>
              <w:rPr>
                <w:rFonts w:ascii="Calibri" w:hAnsi="Calibri"/>
                <w:color w:val="000000"/>
                <w:sz w:val="22"/>
                <w:szCs w:val="22"/>
              </w:rPr>
            </w:pPr>
            <w:r>
              <w:rPr>
                <w:rFonts w:ascii="Calibri" w:hAnsi="Calibri"/>
                <w:color w:val="000000"/>
                <w:sz w:val="22"/>
                <w:szCs w:val="22"/>
              </w:rPr>
              <w:t>215/66</w:t>
            </w:r>
          </w:p>
        </w:tc>
        <w:tc>
          <w:tcPr>
            <w:tcW w:w="1300" w:type="dxa"/>
            <w:tcBorders>
              <w:top w:val="nil"/>
              <w:left w:val="nil"/>
              <w:bottom w:val="single" w:sz="8" w:space="0" w:color="auto"/>
              <w:right w:val="single" w:sz="8" w:space="0" w:color="auto"/>
            </w:tcBorders>
            <w:shd w:val="clear" w:color="auto" w:fill="auto"/>
            <w:vAlign w:val="center"/>
            <w:hideMark/>
          </w:tcPr>
          <w:p w14:paraId="2CFEFDA3"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4D551BD3"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55193DAD"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260D6FD1"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F6F8521"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Ridge Lane</w:t>
            </w:r>
          </w:p>
        </w:tc>
        <w:tc>
          <w:tcPr>
            <w:tcW w:w="1300" w:type="dxa"/>
            <w:tcBorders>
              <w:top w:val="nil"/>
              <w:left w:val="nil"/>
              <w:bottom w:val="single" w:sz="8" w:space="0" w:color="auto"/>
              <w:right w:val="single" w:sz="8" w:space="0" w:color="auto"/>
            </w:tcBorders>
            <w:shd w:val="clear" w:color="auto" w:fill="auto"/>
            <w:vAlign w:val="center"/>
            <w:hideMark/>
          </w:tcPr>
          <w:p w14:paraId="6453067F" w14:textId="1AE43313" w:rsidR="00CA1694" w:rsidRPr="00C20ED5" w:rsidRDefault="00CA1694" w:rsidP="00C20ED5">
            <w:pPr>
              <w:jc w:val="right"/>
              <w:rPr>
                <w:rFonts w:ascii="Calibri" w:hAnsi="Calibri"/>
                <w:color w:val="000000"/>
                <w:sz w:val="22"/>
                <w:szCs w:val="22"/>
              </w:rPr>
            </w:pPr>
            <w:r>
              <w:rPr>
                <w:rFonts w:ascii="Calibri" w:hAnsi="Calibri"/>
                <w:color w:val="000000"/>
                <w:sz w:val="22"/>
                <w:szCs w:val="22"/>
              </w:rPr>
              <w:t>4,925/1,501</w:t>
            </w:r>
          </w:p>
        </w:tc>
        <w:tc>
          <w:tcPr>
            <w:tcW w:w="1300" w:type="dxa"/>
            <w:tcBorders>
              <w:top w:val="nil"/>
              <w:left w:val="nil"/>
              <w:bottom w:val="single" w:sz="8" w:space="0" w:color="auto"/>
              <w:right w:val="single" w:sz="8" w:space="0" w:color="auto"/>
            </w:tcBorders>
            <w:shd w:val="clear" w:color="auto" w:fill="auto"/>
            <w:vAlign w:val="center"/>
            <w:hideMark/>
          </w:tcPr>
          <w:p w14:paraId="602D293A"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3F936FE9"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16390F52"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727E0E3C"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C877326"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Smith Lane</w:t>
            </w:r>
          </w:p>
        </w:tc>
        <w:tc>
          <w:tcPr>
            <w:tcW w:w="1300" w:type="dxa"/>
            <w:tcBorders>
              <w:top w:val="nil"/>
              <w:left w:val="nil"/>
              <w:bottom w:val="single" w:sz="8" w:space="0" w:color="auto"/>
              <w:right w:val="single" w:sz="8" w:space="0" w:color="auto"/>
            </w:tcBorders>
            <w:shd w:val="clear" w:color="auto" w:fill="auto"/>
            <w:vAlign w:val="center"/>
            <w:hideMark/>
          </w:tcPr>
          <w:p w14:paraId="23596AEC" w14:textId="65531FC4" w:rsidR="00CA1694" w:rsidRPr="00C20ED5" w:rsidRDefault="00CA1694" w:rsidP="00C20ED5">
            <w:pPr>
              <w:jc w:val="right"/>
              <w:rPr>
                <w:rFonts w:ascii="Calibri" w:hAnsi="Calibri"/>
                <w:color w:val="000000"/>
                <w:sz w:val="22"/>
                <w:szCs w:val="22"/>
              </w:rPr>
            </w:pPr>
            <w:r>
              <w:rPr>
                <w:rFonts w:ascii="Calibri" w:hAnsi="Calibri"/>
                <w:color w:val="000000"/>
                <w:sz w:val="22"/>
                <w:szCs w:val="22"/>
              </w:rPr>
              <w:t>3,391/1,034</w:t>
            </w:r>
          </w:p>
        </w:tc>
        <w:tc>
          <w:tcPr>
            <w:tcW w:w="1300" w:type="dxa"/>
            <w:tcBorders>
              <w:top w:val="nil"/>
              <w:left w:val="nil"/>
              <w:bottom w:val="single" w:sz="8" w:space="0" w:color="auto"/>
              <w:right w:val="single" w:sz="8" w:space="0" w:color="auto"/>
            </w:tcBorders>
            <w:shd w:val="clear" w:color="auto" w:fill="auto"/>
            <w:vAlign w:val="center"/>
            <w:hideMark/>
          </w:tcPr>
          <w:p w14:paraId="3867ABCA"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7C3625DE"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4457AC69"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669E0221"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8F508AF"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Spencer Lane</w:t>
            </w:r>
          </w:p>
        </w:tc>
        <w:tc>
          <w:tcPr>
            <w:tcW w:w="1300" w:type="dxa"/>
            <w:tcBorders>
              <w:top w:val="nil"/>
              <w:left w:val="nil"/>
              <w:bottom w:val="single" w:sz="8" w:space="0" w:color="auto"/>
              <w:right w:val="single" w:sz="8" w:space="0" w:color="auto"/>
            </w:tcBorders>
            <w:shd w:val="clear" w:color="auto" w:fill="auto"/>
            <w:vAlign w:val="center"/>
            <w:hideMark/>
          </w:tcPr>
          <w:p w14:paraId="1B5B0934" w14:textId="4E9F1A06" w:rsidR="00CA1694" w:rsidRPr="00C20ED5" w:rsidRDefault="00CA1694" w:rsidP="00C20ED5">
            <w:pPr>
              <w:jc w:val="right"/>
              <w:rPr>
                <w:rFonts w:ascii="Calibri" w:hAnsi="Calibri"/>
                <w:color w:val="000000"/>
                <w:sz w:val="22"/>
                <w:szCs w:val="22"/>
              </w:rPr>
            </w:pPr>
            <w:r>
              <w:rPr>
                <w:rFonts w:ascii="Calibri" w:hAnsi="Calibri"/>
                <w:color w:val="000000"/>
                <w:sz w:val="22"/>
                <w:szCs w:val="22"/>
              </w:rPr>
              <w:t>776/237</w:t>
            </w:r>
          </w:p>
        </w:tc>
        <w:tc>
          <w:tcPr>
            <w:tcW w:w="1300" w:type="dxa"/>
            <w:tcBorders>
              <w:top w:val="nil"/>
              <w:left w:val="nil"/>
              <w:bottom w:val="single" w:sz="8" w:space="0" w:color="auto"/>
              <w:right w:val="single" w:sz="8" w:space="0" w:color="auto"/>
            </w:tcBorders>
            <w:shd w:val="clear" w:color="auto" w:fill="auto"/>
            <w:vAlign w:val="center"/>
            <w:hideMark/>
          </w:tcPr>
          <w:p w14:paraId="0E7CCB63"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649350FB"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029699FC"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1E5446BA"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6C4A4EC"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Springy Pond Road</w:t>
            </w:r>
          </w:p>
        </w:tc>
        <w:tc>
          <w:tcPr>
            <w:tcW w:w="1300" w:type="dxa"/>
            <w:tcBorders>
              <w:top w:val="nil"/>
              <w:left w:val="nil"/>
              <w:bottom w:val="single" w:sz="8" w:space="0" w:color="auto"/>
              <w:right w:val="single" w:sz="8" w:space="0" w:color="auto"/>
            </w:tcBorders>
            <w:shd w:val="clear" w:color="auto" w:fill="auto"/>
            <w:vAlign w:val="center"/>
            <w:hideMark/>
          </w:tcPr>
          <w:p w14:paraId="50F7E905" w14:textId="12F4211C" w:rsidR="00CA1694" w:rsidRPr="00C20ED5" w:rsidRDefault="00CA1694" w:rsidP="00C20ED5">
            <w:pPr>
              <w:jc w:val="right"/>
              <w:rPr>
                <w:rFonts w:ascii="Calibri" w:hAnsi="Calibri"/>
                <w:color w:val="000000"/>
                <w:sz w:val="22"/>
                <w:szCs w:val="22"/>
              </w:rPr>
            </w:pPr>
            <w:r>
              <w:rPr>
                <w:rFonts w:ascii="Calibri" w:hAnsi="Calibri"/>
                <w:color w:val="000000"/>
                <w:sz w:val="22"/>
                <w:szCs w:val="22"/>
              </w:rPr>
              <w:t>12,155/3,705</w:t>
            </w:r>
          </w:p>
        </w:tc>
        <w:tc>
          <w:tcPr>
            <w:tcW w:w="1300" w:type="dxa"/>
            <w:tcBorders>
              <w:top w:val="nil"/>
              <w:left w:val="nil"/>
              <w:bottom w:val="single" w:sz="8" w:space="0" w:color="auto"/>
              <w:right w:val="single" w:sz="8" w:space="0" w:color="auto"/>
            </w:tcBorders>
            <w:shd w:val="clear" w:color="auto" w:fill="auto"/>
            <w:vAlign w:val="center"/>
            <w:hideMark/>
          </w:tcPr>
          <w:p w14:paraId="51B3454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65747952"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405F2D29"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6A9DF68A"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22A1654"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Thompson Court</w:t>
            </w:r>
          </w:p>
        </w:tc>
        <w:tc>
          <w:tcPr>
            <w:tcW w:w="1300" w:type="dxa"/>
            <w:tcBorders>
              <w:top w:val="nil"/>
              <w:left w:val="nil"/>
              <w:bottom w:val="single" w:sz="8" w:space="0" w:color="auto"/>
              <w:right w:val="single" w:sz="8" w:space="0" w:color="auto"/>
            </w:tcBorders>
            <w:shd w:val="clear" w:color="auto" w:fill="auto"/>
            <w:vAlign w:val="center"/>
            <w:hideMark/>
          </w:tcPr>
          <w:p w14:paraId="43A7564E" w14:textId="2FBF0710" w:rsidR="00CA1694" w:rsidRPr="00C20ED5" w:rsidRDefault="00CA1694" w:rsidP="00C20ED5">
            <w:pPr>
              <w:jc w:val="right"/>
              <w:rPr>
                <w:rFonts w:ascii="Calibri" w:hAnsi="Calibri"/>
                <w:color w:val="000000"/>
                <w:sz w:val="22"/>
                <w:szCs w:val="22"/>
              </w:rPr>
            </w:pPr>
            <w:r>
              <w:rPr>
                <w:rFonts w:ascii="Calibri" w:hAnsi="Calibri"/>
                <w:color w:val="000000"/>
                <w:sz w:val="22"/>
                <w:szCs w:val="22"/>
              </w:rPr>
              <w:t>901/275</w:t>
            </w:r>
          </w:p>
        </w:tc>
        <w:tc>
          <w:tcPr>
            <w:tcW w:w="1300" w:type="dxa"/>
            <w:tcBorders>
              <w:top w:val="nil"/>
              <w:left w:val="nil"/>
              <w:bottom w:val="single" w:sz="8" w:space="0" w:color="auto"/>
              <w:right w:val="single" w:sz="8" w:space="0" w:color="auto"/>
            </w:tcBorders>
            <w:shd w:val="clear" w:color="auto" w:fill="auto"/>
            <w:vAlign w:val="center"/>
            <w:hideMark/>
          </w:tcPr>
          <w:p w14:paraId="05A6B43F"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675D9A6B"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0CF9EA4B"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75B55430"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9080E48"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Wood Bridge Lane</w:t>
            </w:r>
          </w:p>
        </w:tc>
        <w:tc>
          <w:tcPr>
            <w:tcW w:w="1300" w:type="dxa"/>
            <w:tcBorders>
              <w:top w:val="nil"/>
              <w:left w:val="nil"/>
              <w:bottom w:val="single" w:sz="8" w:space="0" w:color="auto"/>
              <w:right w:val="single" w:sz="8" w:space="0" w:color="auto"/>
            </w:tcBorders>
            <w:shd w:val="clear" w:color="auto" w:fill="auto"/>
            <w:vAlign w:val="center"/>
            <w:hideMark/>
          </w:tcPr>
          <w:p w14:paraId="5518CD8D" w14:textId="70A7408B" w:rsidR="00CA1694" w:rsidRPr="00C20ED5" w:rsidRDefault="00CA1694" w:rsidP="00C20ED5">
            <w:pPr>
              <w:jc w:val="right"/>
              <w:rPr>
                <w:rFonts w:ascii="Calibri" w:hAnsi="Calibri"/>
                <w:color w:val="000000"/>
                <w:sz w:val="22"/>
                <w:szCs w:val="22"/>
              </w:rPr>
            </w:pPr>
            <w:r>
              <w:rPr>
                <w:rFonts w:ascii="Calibri" w:hAnsi="Calibri"/>
                <w:color w:val="000000"/>
                <w:sz w:val="22"/>
                <w:szCs w:val="22"/>
              </w:rPr>
              <w:t>628/191</w:t>
            </w:r>
          </w:p>
        </w:tc>
        <w:tc>
          <w:tcPr>
            <w:tcW w:w="1300" w:type="dxa"/>
            <w:tcBorders>
              <w:top w:val="nil"/>
              <w:left w:val="nil"/>
              <w:bottom w:val="single" w:sz="8" w:space="0" w:color="auto"/>
              <w:right w:val="single" w:sz="8" w:space="0" w:color="auto"/>
            </w:tcBorders>
            <w:shd w:val="clear" w:color="auto" w:fill="auto"/>
            <w:vAlign w:val="center"/>
            <w:hideMark/>
          </w:tcPr>
          <w:p w14:paraId="33927B8E"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159ACE8E"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6EF2DA8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72B73765"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86BA0A9"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Birch Hill Lane</w:t>
            </w:r>
          </w:p>
        </w:tc>
        <w:tc>
          <w:tcPr>
            <w:tcW w:w="1300" w:type="dxa"/>
            <w:tcBorders>
              <w:top w:val="nil"/>
              <w:left w:val="nil"/>
              <w:bottom w:val="single" w:sz="8" w:space="0" w:color="auto"/>
              <w:right w:val="single" w:sz="8" w:space="0" w:color="auto"/>
            </w:tcBorders>
            <w:shd w:val="clear" w:color="auto" w:fill="auto"/>
            <w:vAlign w:val="center"/>
            <w:hideMark/>
          </w:tcPr>
          <w:p w14:paraId="63FF4A89" w14:textId="2A4F9F35" w:rsidR="00CA1694" w:rsidRPr="00C20ED5" w:rsidRDefault="00CA1694" w:rsidP="00C20ED5">
            <w:pPr>
              <w:jc w:val="right"/>
              <w:rPr>
                <w:rFonts w:ascii="Calibri" w:hAnsi="Calibri"/>
                <w:color w:val="000000"/>
                <w:sz w:val="22"/>
                <w:szCs w:val="22"/>
              </w:rPr>
            </w:pPr>
            <w:r>
              <w:rPr>
                <w:rFonts w:ascii="Calibri" w:hAnsi="Calibri"/>
                <w:color w:val="000000"/>
                <w:sz w:val="22"/>
                <w:szCs w:val="22"/>
              </w:rPr>
              <w:t>900/274</w:t>
            </w:r>
          </w:p>
        </w:tc>
        <w:tc>
          <w:tcPr>
            <w:tcW w:w="1300" w:type="dxa"/>
            <w:tcBorders>
              <w:top w:val="nil"/>
              <w:left w:val="nil"/>
              <w:bottom w:val="single" w:sz="8" w:space="0" w:color="auto"/>
              <w:right w:val="single" w:sz="8" w:space="0" w:color="auto"/>
            </w:tcBorders>
            <w:shd w:val="clear" w:color="auto" w:fill="auto"/>
            <w:vAlign w:val="center"/>
            <w:hideMark/>
          </w:tcPr>
          <w:p w14:paraId="53DB4D2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1F2A98EC"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40395679"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71E5E80E"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9D51CEB"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Blacks Road</w:t>
            </w:r>
          </w:p>
        </w:tc>
        <w:tc>
          <w:tcPr>
            <w:tcW w:w="1300" w:type="dxa"/>
            <w:tcBorders>
              <w:top w:val="nil"/>
              <w:left w:val="nil"/>
              <w:bottom w:val="single" w:sz="8" w:space="0" w:color="auto"/>
              <w:right w:val="single" w:sz="8" w:space="0" w:color="auto"/>
            </w:tcBorders>
            <w:shd w:val="clear" w:color="auto" w:fill="auto"/>
            <w:vAlign w:val="center"/>
            <w:hideMark/>
          </w:tcPr>
          <w:p w14:paraId="7FC34DB1" w14:textId="252C13FE" w:rsidR="00CA1694" w:rsidRPr="00C20ED5" w:rsidRDefault="00CA1694" w:rsidP="00C20ED5">
            <w:pPr>
              <w:jc w:val="right"/>
              <w:rPr>
                <w:rFonts w:ascii="Calibri" w:hAnsi="Calibri"/>
                <w:color w:val="000000"/>
                <w:sz w:val="22"/>
                <w:szCs w:val="22"/>
              </w:rPr>
            </w:pPr>
            <w:r>
              <w:rPr>
                <w:rFonts w:ascii="Calibri" w:hAnsi="Calibri"/>
                <w:color w:val="000000"/>
                <w:sz w:val="22"/>
                <w:szCs w:val="22"/>
              </w:rPr>
              <w:t>5,347/1,630</w:t>
            </w:r>
          </w:p>
        </w:tc>
        <w:tc>
          <w:tcPr>
            <w:tcW w:w="1300" w:type="dxa"/>
            <w:tcBorders>
              <w:top w:val="nil"/>
              <w:left w:val="nil"/>
              <w:bottom w:val="single" w:sz="8" w:space="0" w:color="auto"/>
              <w:right w:val="single" w:sz="8" w:space="0" w:color="auto"/>
            </w:tcBorders>
            <w:shd w:val="clear" w:color="auto" w:fill="auto"/>
            <w:vAlign w:val="center"/>
            <w:hideMark/>
          </w:tcPr>
          <w:p w14:paraId="028875EB"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48205A2A"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1C2FD408"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Poor</w:t>
            </w:r>
          </w:p>
        </w:tc>
      </w:tr>
      <w:tr w:rsidR="00CA1694" w:rsidRPr="00C20ED5" w14:paraId="724AF253"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C046749"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Brutiss Way</w:t>
            </w:r>
          </w:p>
        </w:tc>
        <w:tc>
          <w:tcPr>
            <w:tcW w:w="1300" w:type="dxa"/>
            <w:tcBorders>
              <w:top w:val="nil"/>
              <w:left w:val="nil"/>
              <w:bottom w:val="single" w:sz="8" w:space="0" w:color="auto"/>
              <w:right w:val="single" w:sz="8" w:space="0" w:color="auto"/>
            </w:tcBorders>
            <w:shd w:val="clear" w:color="auto" w:fill="auto"/>
            <w:vAlign w:val="center"/>
            <w:hideMark/>
          </w:tcPr>
          <w:p w14:paraId="6FFB1B48" w14:textId="7110C12A" w:rsidR="00CA1694" w:rsidRPr="00C20ED5" w:rsidRDefault="00CA1694" w:rsidP="00C20ED5">
            <w:pPr>
              <w:jc w:val="right"/>
              <w:rPr>
                <w:rFonts w:ascii="Calibri" w:hAnsi="Calibri"/>
                <w:color w:val="000000"/>
                <w:sz w:val="22"/>
                <w:szCs w:val="22"/>
              </w:rPr>
            </w:pPr>
            <w:r>
              <w:rPr>
                <w:rFonts w:ascii="Calibri" w:hAnsi="Calibri"/>
                <w:color w:val="000000"/>
                <w:sz w:val="22"/>
                <w:szCs w:val="22"/>
              </w:rPr>
              <w:t>1,000/305</w:t>
            </w:r>
          </w:p>
        </w:tc>
        <w:tc>
          <w:tcPr>
            <w:tcW w:w="1300" w:type="dxa"/>
            <w:tcBorders>
              <w:top w:val="nil"/>
              <w:left w:val="nil"/>
              <w:bottom w:val="single" w:sz="8" w:space="0" w:color="auto"/>
              <w:right w:val="single" w:sz="8" w:space="0" w:color="auto"/>
            </w:tcBorders>
            <w:shd w:val="clear" w:color="auto" w:fill="auto"/>
            <w:vAlign w:val="center"/>
            <w:hideMark/>
          </w:tcPr>
          <w:p w14:paraId="0F52891A"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6C626C4E"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16E1DF94"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1B4A7E14"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03F57E2"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Buchanan Lane</w:t>
            </w:r>
          </w:p>
        </w:tc>
        <w:tc>
          <w:tcPr>
            <w:tcW w:w="1300" w:type="dxa"/>
            <w:tcBorders>
              <w:top w:val="nil"/>
              <w:left w:val="nil"/>
              <w:bottom w:val="single" w:sz="8" w:space="0" w:color="auto"/>
              <w:right w:val="single" w:sz="8" w:space="0" w:color="auto"/>
            </w:tcBorders>
            <w:shd w:val="clear" w:color="auto" w:fill="auto"/>
            <w:vAlign w:val="center"/>
            <w:hideMark/>
          </w:tcPr>
          <w:p w14:paraId="591B4B26" w14:textId="6DA5D98D" w:rsidR="00CA1694" w:rsidRPr="00C20ED5" w:rsidRDefault="00CA1694" w:rsidP="00C20ED5">
            <w:pPr>
              <w:jc w:val="right"/>
              <w:rPr>
                <w:rFonts w:ascii="Calibri" w:hAnsi="Calibri"/>
                <w:color w:val="000000"/>
                <w:sz w:val="22"/>
                <w:szCs w:val="22"/>
              </w:rPr>
            </w:pPr>
            <w:r>
              <w:rPr>
                <w:rFonts w:ascii="Calibri" w:hAnsi="Calibri"/>
                <w:color w:val="000000"/>
                <w:sz w:val="22"/>
                <w:szCs w:val="22"/>
              </w:rPr>
              <w:t>356/109</w:t>
            </w:r>
          </w:p>
        </w:tc>
        <w:tc>
          <w:tcPr>
            <w:tcW w:w="1300" w:type="dxa"/>
            <w:tcBorders>
              <w:top w:val="nil"/>
              <w:left w:val="nil"/>
              <w:bottom w:val="single" w:sz="8" w:space="0" w:color="auto"/>
              <w:right w:val="single" w:sz="8" w:space="0" w:color="auto"/>
            </w:tcBorders>
            <w:shd w:val="clear" w:color="auto" w:fill="auto"/>
            <w:vAlign w:val="center"/>
            <w:hideMark/>
          </w:tcPr>
          <w:p w14:paraId="071EC6AD"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42B89478"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3E248D38"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71CEEA0B"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3D38BDA"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Country Lane</w:t>
            </w:r>
          </w:p>
        </w:tc>
        <w:tc>
          <w:tcPr>
            <w:tcW w:w="1300" w:type="dxa"/>
            <w:tcBorders>
              <w:top w:val="nil"/>
              <w:left w:val="nil"/>
              <w:bottom w:val="single" w:sz="8" w:space="0" w:color="auto"/>
              <w:right w:val="single" w:sz="8" w:space="0" w:color="auto"/>
            </w:tcBorders>
            <w:shd w:val="clear" w:color="auto" w:fill="auto"/>
            <w:vAlign w:val="center"/>
            <w:hideMark/>
          </w:tcPr>
          <w:p w14:paraId="35A8E1B8" w14:textId="751DB934" w:rsidR="00CA1694" w:rsidRPr="00C20ED5" w:rsidRDefault="00CA1694" w:rsidP="00C20ED5">
            <w:pPr>
              <w:jc w:val="right"/>
              <w:rPr>
                <w:rFonts w:ascii="Calibri" w:hAnsi="Calibri"/>
                <w:color w:val="000000"/>
                <w:sz w:val="22"/>
                <w:szCs w:val="22"/>
              </w:rPr>
            </w:pPr>
            <w:r>
              <w:rPr>
                <w:rFonts w:ascii="Calibri" w:hAnsi="Calibri"/>
                <w:color w:val="000000"/>
                <w:sz w:val="22"/>
                <w:szCs w:val="22"/>
              </w:rPr>
              <w:t>283/86</w:t>
            </w:r>
          </w:p>
        </w:tc>
        <w:tc>
          <w:tcPr>
            <w:tcW w:w="1300" w:type="dxa"/>
            <w:tcBorders>
              <w:top w:val="nil"/>
              <w:left w:val="nil"/>
              <w:bottom w:val="single" w:sz="8" w:space="0" w:color="auto"/>
              <w:right w:val="single" w:sz="8" w:space="0" w:color="auto"/>
            </w:tcBorders>
            <w:shd w:val="clear" w:color="auto" w:fill="auto"/>
            <w:vAlign w:val="center"/>
            <w:hideMark/>
          </w:tcPr>
          <w:p w14:paraId="2AE81A2D"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2540EB05"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4684DAE9"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004540B8"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9F59A30"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Dragon Fly Lane</w:t>
            </w:r>
          </w:p>
        </w:tc>
        <w:tc>
          <w:tcPr>
            <w:tcW w:w="1300" w:type="dxa"/>
            <w:tcBorders>
              <w:top w:val="nil"/>
              <w:left w:val="nil"/>
              <w:bottom w:val="single" w:sz="8" w:space="0" w:color="auto"/>
              <w:right w:val="single" w:sz="8" w:space="0" w:color="auto"/>
            </w:tcBorders>
            <w:shd w:val="clear" w:color="auto" w:fill="auto"/>
            <w:vAlign w:val="center"/>
            <w:hideMark/>
          </w:tcPr>
          <w:p w14:paraId="4E28F662" w14:textId="737218A2" w:rsidR="00CA1694" w:rsidRPr="00C20ED5" w:rsidRDefault="00CA1694" w:rsidP="00C20ED5">
            <w:pPr>
              <w:jc w:val="right"/>
              <w:rPr>
                <w:rFonts w:ascii="Calibri" w:hAnsi="Calibri"/>
                <w:color w:val="000000"/>
                <w:sz w:val="22"/>
                <w:szCs w:val="22"/>
              </w:rPr>
            </w:pPr>
            <w:r>
              <w:rPr>
                <w:rFonts w:ascii="Calibri" w:hAnsi="Calibri"/>
                <w:color w:val="000000"/>
                <w:sz w:val="22"/>
                <w:szCs w:val="22"/>
              </w:rPr>
              <w:t>625/191</w:t>
            </w:r>
          </w:p>
        </w:tc>
        <w:tc>
          <w:tcPr>
            <w:tcW w:w="1300" w:type="dxa"/>
            <w:tcBorders>
              <w:top w:val="nil"/>
              <w:left w:val="nil"/>
              <w:bottom w:val="single" w:sz="8" w:space="0" w:color="auto"/>
              <w:right w:val="single" w:sz="8" w:space="0" w:color="auto"/>
            </w:tcBorders>
            <w:shd w:val="clear" w:color="auto" w:fill="auto"/>
            <w:vAlign w:val="center"/>
            <w:hideMark/>
          </w:tcPr>
          <w:p w14:paraId="1480EA5E"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30ABC6AE"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48F1D355"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5D1A0C86"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BD08857"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Fairway Drive</w:t>
            </w:r>
          </w:p>
        </w:tc>
        <w:tc>
          <w:tcPr>
            <w:tcW w:w="1300" w:type="dxa"/>
            <w:tcBorders>
              <w:top w:val="nil"/>
              <w:left w:val="nil"/>
              <w:bottom w:val="single" w:sz="8" w:space="0" w:color="auto"/>
              <w:right w:val="single" w:sz="8" w:space="0" w:color="auto"/>
            </w:tcBorders>
            <w:shd w:val="clear" w:color="auto" w:fill="auto"/>
            <w:vAlign w:val="center"/>
            <w:hideMark/>
          </w:tcPr>
          <w:p w14:paraId="0A0B65F9" w14:textId="48C9A9E6" w:rsidR="00CA1694" w:rsidRPr="00C20ED5" w:rsidRDefault="00CA1694" w:rsidP="00C20ED5">
            <w:pPr>
              <w:jc w:val="right"/>
              <w:rPr>
                <w:rFonts w:ascii="Calibri" w:hAnsi="Calibri"/>
                <w:color w:val="000000"/>
                <w:sz w:val="22"/>
                <w:szCs w:val="22"/>
              </w:rPr>
            </w:pPr>
            <w:r>
              <w:rPr>
                <w:rFonts w:ascii="Calibri" w:hAnsi="Calibri"/>
                <w:color w:val="000000"/>
                <w:sz w:val="22"/>
                <w:szCs w:val="22"/>
              </w:rPr>
              <w:t>349/106</w:t>
            </w:r>
          </w:p>
        </w:tc>
        <w:tc>
          <w:tcPr>
            <w:tcW w:w="1300" w:type="dxa"/>
            <w:tcBorders>
              <w:top w:val="nil"/>
              <w:left w:val="nil"/>
              <w:bottom w:val="single" w:sz="8" w:space="0" w:color="auto"/>
              <w:right w:val="single" w:sz="8" w:space="0" w:color="auto"/>
            </w:tcBorders>
            <w:shd w:val="clear" w:color="auto" w:fill="auto"/>
            <w:vAlign w:val="center"/>
            <w:hideMark/>
          </w:tcPr>
          <w:p w14:paraId="7253C6C3"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12FD27B8"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14E98182"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3B48AE86"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B5F68A4"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Fickett Mountain Trail</w:t>
            </w:r>
          </w:p>
        </w:tc>
        <w:tc>
          <w:tcPr>
            <w:tcW w:w="1300" w:type="dxa"/>
            <w:tcBorders>
              <w:top w:val="nil"/>
              <w:left w:val="nil"/>
              <w:bottom w:val="single" w:sz="8" w:space="0" w:color="auto"/>
              <w:right w:val="single" w:sz="8" w:space="0" w:color="auto"/>
            </w:tcBorders>
            <w:shd w:val="clear" w:color="auto" w:fill="auto"/>
            <w:vAlign w:val="center"/>
            <w:hideMark/>
          </w:tcPr>
          <w:p w14:paraId="263E2E00" w14:textId="208F90D0" w:rsidR="00CA1694" w:rsidRPr="00C20ED5" w:rsidRDefault="00CA1694" w:rsidP="00C20ED5">
            <w:pPr>
              <w:jc w:val="right"/>
              <w:rPr>
                <w:rFonts w:ascii="Calibri" w:hAnsi="Calibri"/>
                <w:color w:val="000000"/>
                <w:sz w:val="22"/>
                <w:szCs w:val="22"/>
              </w:rPr>
            </w:pPr>
            <w:r>
              <w:rPr>
                <w:rFonts w:ascii="Calibri" w:hAnsi="Calibri"/>
                <w:color w:val="000000"/>
                <w:sz w:val="22"/>
                <w:szCs w:val="22"/>
              </w:rPr>
              <w:t>1,334/407</w:t>
            </w:r>
          </w:p>
        </w:tc>
        <w:tc>
          <w:tcPr>
            <w:tcW w:w="1300" w:type="dxa"/>
            <w:tcBorders>
              <w:top w:val="nil"/>
              <w:left w:val="nil"/>
              <w:bottom w:val="single" w:sz="8" w:space="0" w:color="auto"/>
              <w:right w:val="single" w:sz="8" w:space="0" w:color="auto"/>
            </w:tcBorders>
            <w:shd w:val="clear" w:color="auto" w:fill="auto"/>
            <w:vAlign w:val="center"/>
            <w:hideMark/>
          </w:tcPr>
          <w:p w14:paraId="3A778859"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16B689B6"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73CDDA9D"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2B210506"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E5C1D53"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FM Farm Road</w:t>
            </w:r>
          </w:p>
        </w:tc>
        <w:tc>
          <w:tcPr>
            <w:tcW w:w="1300" w:type="dxa"/>
            <w:tcBorders>
              <w:top w:val="nil"/>
              <w:left w:val="nil"/>
              <w:bottom w:val="single" w:sz="8" w:space="0" w:color="auto"/>
              <w:right w:val="single" w:sz="8" w:space="0" w:color="auto"/>
            </w:tcBorders>
            <w:shd w:val="clear" w:color="auto" w:fill="auto"/>
            <w:vAlign w:val="center"/>
            <w:hideMark/>
          </w:tcPr>
          <w:p w14:paraId="5EDDE067" w14:textId="7F2B35BE" w:rsidR="00CA1694" w:rsidRPr="00C20ED5" w:rsidRDefault="00CA1694" w:rsidP="00C20ED5">
            <w:pPr>
              <w:jc w:val="right"/>
              <w:rPr>
                <w:rFonts w:ascii="Calibri" w:hAnsi="Calibri"/>
                <w:color w:val="000000"/>
                <w:sz w:val="22"/>
                <w:szCs w:val="22"/>
              </w:rPr>
            </w:pPr>
            <w:r>
              <w:rPr>
                <w:rFonts w:ascii="Calibri" w:hAnsi="Calibri"/>
                <w:color w:val="000000"/>
                <w:sz w:val="22"/>
                <w:szCs w:val="22"/>
              </w:rPr>
              <w:t>1,235/376</w:t>
            </w:r>
          </w:p>
        </w:tc>
        <w:tc>
          <w:tcPr>
            <w:tcW w:w="1300" w:type="dxa"/>
            <w:tcBorders>
              <w:top w:val="nil"/>
              <w:left w:val="nil"/>
              <w:bottom w:val="single" w:sz="8" w:space="0" w:color="auto"/>
              <w:right w:val="single" w:sz="8" w:space="0" w:color="auto"/>
            </w:tcBorders>
            <w:shd w:val="clear" w:color="auto" w:fill="auto"/>
            <w:vAlign w:val="center"/>
            <w:hideMark/>
          </w:tcPr>
          <w:p w14:paraId="00F6B4F3"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1388867A"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779BB2A3"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3DBF871F"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CCA8555"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October Way</w:t>
            </w:r>
          </w:p>
        </w:tc>
        <w:tc>
          <w:tcPr>
            <w:tcW w:w="1300" w:type="dxa"/>
            <w:tcBorders>
              <w:top w:val="nil"/>
              <w:left w:val="nil"/>
              <w:bottom w:val="single" w:sz="8" w:space="0" w:color="auto"/>
              <w:right w:val="single" w:sz="8" w:space="0" w:color="auto"/>
            </w:tcBorders>
            <w:shd w:val="clear" w:color="auto" w:fill="auto"/>
            <w:vAlign w:val="center"/>
            <w:hideMark/>
          </w:tcPr>
          <w:p w14:paraId="7069D2A9" w14:textId="6CFBBFDD" w:rsidR="00CA1694" w:rsidRPr="00C20ED5" w:rsidRDefault="00CA1694" w:rsidP="00C20ED5">
            <w:pPr>
              <w:jc w:val="right"/>
              <w:rPr>
                <w:rFonts w:ascii="Calibri" w:hAnsi="Calibri"/>
                <w:color w:val="000000"/>
                <w:sz w:val="22"/>
                <w:szCs w:val="22"/>
              </w:rPr>
            </w:pPr>
            <w:r>
              <w:rPr>
                <w:rFonts w:ascii="Calibri" w:hAnsi="Calibri"/>
                <w:color w:val="000000"/>
                <w:sz w:val="22"/>
                <w:szCs w:val="22"/>
              </w:rPr>
              <w:t>600/183</w:t>
            </w:r>
          </w:p>
        </w:tc>
        <w:tc>
          <w:tcPr>
            <w:tcW w:w="1300" w:type="dxa"/>
            <w:tcBorders>
              <w:top w:val="nil"/>
              <w:left w:val="nil"/>
              <w:bottom w:val="single" w:sz="8" w:space="0" w:color="auto"/>
              <w:right w:val="single" w:sz="8" w:space="0" w:color="auto"/>
            </w:tcBorders>
            <w:shd w:val="clear" w:color="auto" w:fill="auto"/>
            <w:vAlign w:val="center"/>
            <w:hideMark/>
          </w:tcPr>
          <w:p w14:paraId="26C393DC"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380C1924"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432D5916"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30938095"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7AF79D7"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Pisgah Mountain Road</w:t>
            </w:r>
          </w:p>
        </w:tc>
        <w:tc>
          <w:tcPr>
            <w:tcW w:w="1300" w:type="dxa"/>
            <w:tcBorders>
              <w:top w:val="nil"/>
              <w:left w:val="nil"/>
              <w:bottom w:val="single" w:sz="8" w:space="0" w:color="auto"/>
              <w:right w:val="single" w:sz="8" w:space="0" w:color="auto"/>
            </w:tcBorders>
            <w:shd w:val="clear" w:color="auto" w:fill="auto"/>
            <w:vAlign w:val="center"/>
            <w:hideMark/>
          </w:tcPr>
          <w:p w14:paraId="21E2152F" w14:textId="40AA5979" w:rsidR="00CA1694" w:rsidRPr="00C20ED5" w:rsidRDefault="00CA1694" w:rsidP="00C20ED5">
            <w:pPr>
              <w:jc w:val="right"/>
              <w:rPr>
                <w:rFonts w:ascii="Calibri" w:hAnsi="Calibri"/>
                <w:color w:val="000000"/>
                <w:sz w:val="22"/>
                <w:szCs w:val="22"/>
              </w:rPr>
            </w:pPr>
            <w:r>
              <w:rPr>
                <w:rFonts w:ascii="Calibri" w:hAnsi="Calibri"/>
                <w:color w:val="000000"/>
                <w:sz w:val="22"/>
                <w:szCs w:val="22"/>
              </w:rPr>
              <w:t>8,000/2,438</w:t>
            </w:r>
          </w:p>
        </w:tc>
        <w:tc>
          <w:tcPr>
            <w:tcW w:w="1300" w:type="dxa"/>
            <w:tcBorders>
              <w:top w:val="nil"/>
              <w:left w:val="nil"/>
              <w:bottom w:val="single" w:sz="8" w:space="0" w:color="auto"/>
              <w:right w:val="single" w:sz="8" w:space="0" w:color="auto"/>
            </w:tcBorders>
            <w:shd w:val="clear" w:color="auto" w:fill="auto"/>
            <w:vAlign w:val="center"/>
            <w:hideMark/>
          </w:tcPr>
          <w:p w14:paraId="79536B16"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104021FB"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07645EBF"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2897B5BD"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5B89AA3"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Strawberry Lane</w:t>
            </w:r>
          </w:p>
        </w:tc>
        <w:tc>
          <w:tcPr>
            <w:tcW w:w="1300" w:type="dxa"/>
            <w:tcBorders>
              <w:top w:val="nil"/>
              <w:left w:val="nil"/>
              <w:bottom w:val="single" w:sz="8" w:space="0" w:color="auto"/>
              <w:right w:val="single" w:sz="8" w:space="0" w:color="auto"/>
            </w:tcBorders>
            <w:shd w:val="clear" w:color="auto" w:fill="auto"/>
            <w:vAlign w:val="center"/>
            <w:hideMark/>
          </w:tcPr>
          <w:p w14:paraId="36113622" w14:textId="7DD322E9" w:rsidR="00CA1694" w:rsidRPr="00C20ED5" w:rsidRDefault="00CA1694" w:rsidP="00C20ED5">
            <w:pPr>
              <w:jc w:val="right"/>
              <w:rPr>
                <w:rFonts w:ascii="Calibri" w:hAnsi="Calibri"/>
                <w:color w:val="000000"/>
                <w:sz w:val="22"/>
                <w:szCs w:val="22"/>
              </w:rPr>
            </w:pPr>
            <w:r>
              <w:rPr>
                <w:rFonts w:ascii="Calibri" w:hAnsi="Calibri"/>
                <w:color w:val="000000"/>
                <w:sz w:val="22"/>
                <w:szCs w:val="22"/>
              </w:rPr>
              <w:t>464/141</w:t>
            </w:r>
          </w:p>
        </w:tc>
        <w:tc>
          <w:tcPr>
            <w:tcW w:w="1300" w:type="dxa"/>
            <w:tcBorders>
              <w:top w:val="nil"/>
              <w:left w:val="nil"/>
              <w:bottom w:val="single" w:sz="8" w:space="0" w:color="auto"/>
              <w:right w:val="single" w:sz="8" w:space="0" w:color="auto"/>
            </w:tcBorders>
            <w:shd w:val="clear" w:color="auto" w:fill="auto"/>
            <w:vAlign w:val="center"/>
            <w:hideMark/>
          </w:tcPr>
          <w:p w14:paraId="4D5684CD"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0B318D22"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070010F8"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3AA2B61A"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F23DD9D"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Trillium Lane</w:t>
            </w:r>
          </w:p>
        </w:tc>
        <w:tc>
          <w:tcPr>
            <w:tcW w:w="1300" w:type="dxa"/>
            <w:tcBorders>
              <w:top w:val="nil"/>
              <w:left w:val="nil"/>
              <w:bottom w:val="single" w:sz="8" w:space="0" w:color="auto"/>
              <w:right w:val="single" w:sz="8" w:space="0" w:color="auto"/>
            </w:tcBorders>
            <w:shd w:val="clear" w:color="auto" w:fill="auto"/>
            <w:vAlign w:val="center"/>
            <w:hideMark/>
          </w:tcPr>
          <w:p w14:paraId="7DF9B496" w14:textId="1EA487DD" w:rsidR="00CA1694" w:rsidRPr="00C20ED5" w:rsidRDefault="00CA1694" w:rsidP="00C20ED5">
            <w:pPr>
              <w:jc w:val="right"/>
              <w:rPr>
                <w:rFonts w:ascii="Calibri" w:hAnsi="Calibri"/>
                <w:color w:val="000000"/>
                <w:sz w:val="22"/>
                <w:szCs w:val="22"/>
              </w:rPr>
            </w:pPr>
            <w:r>
              <w:rPr>
                <w:rFonts w:ascii="Calibri" w:hAnsi="Calibri"/>
                <w:color w:val="000000"/>
                <w:sz w:val="22"/>
                <w:szCs w:val="22"/>
              </w:rPr>
              <w:t>3,500/1,067</w:t>
            </w:r>
          </w:p>
        </w:tc>
        <w:tc>
          <w:tcPr>
            <w:tcW w:w="1300" w:type="dxa"/>
            <w:tcBorders>
              <w:top w:val="nil"/>
              <w:left w:val="nil"/>
              <w:bottom w:val="single" w:sz="8" w:space="0" w:color="auto"/>
              <w:right w:val="single" w:sz="8" w:space="0" w:color="auto"/>
            </w:tcBorders>
            <w:shd w:val="clear" w:color="auto" w:fill="auto"/>
            <w:vAlign w:val="center"/>
            <w:hideMark/>
          </w:tcPr>
          <w:p w14:paraId="6F91D58D"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48BA7430"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340839EB"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4A64E24F"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F30D319"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Woodchuck Hill Road Cont'd</w:t>
            </w:r>
          </w:p>
        </w:tc>
        <w:tc>
          <w:tcPr>
            <w:tcW w:w="1300" w:type="dxa"/>
            <w:tcBorders>
              <w:top w:val="nil"/>
              <w:left w:val="nil"/>
              <w:bottom w:val="single" w:sz="8" w:space="0" w:color="auto"/>
              <w:right w:val="single" w:sz="8" w:space="0" w:color="auto"/>
            </w:tcBorders>
            <w:shd w:val="clear" w:color="auto" w:fill="auto"/>
            <w:vAlign w:val="center"/>
            <w:hideMark/>
          </w:tcPr>
          <w:p w14:paraId="5F1F1CC7" w14:textId="09D2FDD0" w:rsidR="00CA1694" w:rsidRPr="00C20ED5" w:rsidRDefault="00CA1694" w:rsidP="00C20ED5">
            <w:pPr>
              <w:jc w:val="right"/>
              <w:rPr>
                <w:rFonts w:ascii="Calibri" w:hAnsi="Calibri"/>
                <w:color w:val="000000"/>
                <w:sz w:val="22"/>
                <w:szCs w:val="22"/>
              </w:rPr>
            </w:pPr>
            <w:r>
              <w:rPr>
                <w:rFonts w:ascii="Calibri" w:hAnsi="Calibri"/>
                <w:color w:val="000000"/>
                <w:sz w:val="22"/>
                <w:szCs w:val="22"/>
              </w:rPr>
              <w:t>2,900/884</w:t>
            </w:r>
          </w:p>
        </w:tc>
        <w:tc>
          <w:tcPr>
            <w:tcW w:w="1300" w:type="dxa"/>
            <w:tcBorders>
              <w:top w:val="nil"/>
              <w:left w:val="nil"/>
              <w:bottom w:val="single" w:sz="8" w:space="0" w:color="auto"/>
              <w:right w:val="single" w:sz="8" w:space="0" w:color="auto"/>
            </w:tcBorders>
            <w:shd w:val="clear" w:color="auto" w:fill="auto"/>
            <w:vAlign w:val="center"/>
            <w:hideMark/>
          </w:tcPr>
          <w:p w14:paraId="479FEF0F"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5DA2FA73"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506EEC1D"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w:t>
            </w:r>
          </w:p>
        </w:tc>
      </w:tr>
      <w:tr w:rsidR="00CA1694" w:rsidRPr="00C20ED5" w14:paraId="612F76C0"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B4ADF5F" w14:textId="77777777" w:rsidR="00CA1694" w:rsidRPr="00C20ED5" w:rsidRDefault="00CA1694" w:rsidP="00C20ED5">
            <w:pPr>
              <w:rPr>
                <w:rFonts w:ascii="Calibri" w:hAnsi="Calibri"/>
                <w:color w:val="000000"/>
                <w:sz w:val="22"/>
                <w:szCs w:val="22"/>
              </w:rPr>
            </w:pPr>
            <w:r w:rsidRPr="00C20ED5">
              <w:rPr>
                <w:rFonts w:ascii="Calibri" w:hAnsi="Calibri"/>
                <w:color w:val="000000"/>
                <w:sz w:val="22"/>
                <w:szCs w:val="22"/>
              </w:rPr>
              <w:t>Yawaca Road</w:t>
            </w:r>
          </w:p>
        </w:tc>
        <w:tc>
          <w:tcPr>
            <w:tcW w:w="1300" w:type="dxa"/>
            <w:tcBorders>
              <w:top w:val="nil"/>
              <w:left w:val="nil"/>
              <w:bottom w:val="single" w:sz="8" w:space="0" w:color="auto"/>
              <w:right w:val="single" w:sz="8" w:space="0" w:color="auto"/>
            </w:tcBorders>
            <w:shd w:val="clear" w:color="auto" w:fill="auto"/>
            <w:vAlign w:val="center"/>
            <w:hideMark/>
          </w:tcPr>
          <w:p w14:paraId="2267FDDB" w14:textId="3E3EBA23" w:rsidR="00CA1694" w:rsidRPr="00C20ED5" w:rsidRDefault="00CA1694" w:rsidP="00C20ED5">
            <w:pPr>
              <w:jc w:val="right"/>
              <w:rPr>
                <w:rFonts w:ascii="Calibri" w:hAnsi="Calibri"/>
                <w:color w:val="000000"/>
                <w:sz w:val="22"/>
                <w:szCs w:val="22"/>
              </w:rPr>
            </w:pPr>
            <w:r>
              <w:rPr>
                <w:rFonts w:ascii="Calibri" w:hAnsi="Calibri"/>
                <w:color w:val="000000"/>
                <w:sz w:val="22"/>
                <w:szCs w:val="22"/>
              </w:rPr>
              <w:t>8,699/2,651</w:t>
            </w:r>
          </w:p>
        </w:tc>
        <w:tc>
          <w:tcPr>
            <w:tcW w:w="1300" w:type="dxa"/>
            <w:tcBorders>
              <w:top w:val="nil"/>
              <w:left w:val="nil"/>
              <w:bottom w:val="single" w:sz="8" w:space="0" w:color="auto"/>
              <w:right w:val="single" w:sz="8" w:space="0" w:color="auto"/>
            </w:tcBorders>
            <w:shd w:val="clear" w:color="auto" w:fill="auto"/>
            <w:vAlign w:val="center"/>
            <w:hideMark/>
          </w:tcPr>
          <w:p w14:paraId="0A8272D5"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497C18AA"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38CB0FF2"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Fair to Good</w:t>
            </w:r>
          </w:p>
        </w:tc>
      </w:tr>
      <w:tr w:rsidR="00CA1694" w:rsidRPr="00C20ED5" w14:paraId="00D225E8" w14:textId="77777777" w:rsidTr="00B8789F">
        <w:trPr>
          <w:trHeight w:val="320"/>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4EB9AA9" w14:textId="68A67E05" w:rsidR="00CA1694" w:rsidRPr="00C20ED5" w:rsidRDefault="00CA1694" w:rsidP="00C20ED5">
            <w:pPr>
              <w:rPr>
                <w:rFonts w:ascii="Calibri" w:hAnsi="Calibri"/>
                <w:color w:val="000000"/>
                <w:sz w:val="22"/>
                <w:szCs w:val="22"/>
              </w:rPr>
            </w:pPr>
            <w:r w:rsidRPr="00C20ED5">
              <w:rPr>
                <w:rFonts w:ascii="Calibri" w:hAnsi="Calibri"/>
                <w:color w:val="000000"/>
                <w:sz w:val="22"/>
                <w:szCs w:val="22"/>
              </w:rPr>
              <w:t>Zachary</w:t>
            </w:r>
            <w:r w:rsidR="002D22EB">
              <w:rPr>
                <w:rFonts w:ascii="Calibri" w:hAnsi="Calibri"/>
                <w:color w:val="000000"/>
                <w:sz w:val="22"/>
                <w:szCs w:val="22"/>
              </w:rPr>
              <w:t>’</w:t>
            </w:r>
            <w:r w:rsidRPr="00C20ED5">
              <w:rPr>
                <w:rFonts w:ascii="Calibri" w:hAnsi="Calibri"/>
                <w:color w:val="000000"/>
                <w:sz w:val="22"/>
                <w:szCs w:val="22"/>
              </w:rPr>
              <w:t>s Way</w:t>
            </w:r>
          </w:p>
        </w:tc>
        <w:tc>
          <w:tcPr>
            <w:tcW w:w="1300" w:type="dxa"/>
            <w:tcBorders>
              <w:top w:val="nil"/>
              <w:left w:val="nil"/>
              <w:bottom w:val="single" w:sz="8" w:space="0" w:color="auto"/>
              <w:right w:val="single" w:sz="8" w:space="0" w:color="auto"/>
            </w:tcBorders>
            <w:shd w:val="clear" w:color="auto" w:fill="auto"/>
            <w:vAlign w:val="center"/>
            <w:hideMark/>
          </w:tcPr>
          <w:p w14:paraId="0D99295A" w14:textId="156C5489" w:rsidR="00CA1694" w:rsidRPr="00C20ED5" w:rsidRDefault="00CA1694" w:rsidP="00C20ED5">
            <w:pPr>
              <w:jc w:val="right"/>
              <w:rPr>
                <w:rFonts w:ascii="Calibri" w:hAnsi="Calibri"/>
                <w:color w:val="000000"/>
                <w:sz w:val="22"/>
                <w:szCs w:val="22"/>
              </w:rPr>
            </w:pPr>
            <w:r>
              <w:rPr>
                <w:rFonts w:ascii="Calibri" w:hAnsi="Calibri"/>
                <w:color w:val="000000"/>
                <w:sz w:val="22"/>
                <w:szCs w:val="22"/>
              </w:rPr>
              <w:t>209/64</w:t>
            </w:r>
          </w:p>
        </w:tc>
        <w:tc>
          <w:tcPr>
            <w:tcW w:w="1300" w:type="dxa"/>
            <w:tcBorders>
              <w:top w:val="nil"/>
              <w:left w:val="nil"/>
              <w:bottom w:val="single" w:sz="8" w:space="0" w:color="auto"/>
              <w:right w:val="single" w:sz="8" w:space="0" w:color="auto"/>
            </w:tcBorders>
            <w:shd w:val="clear" w:color="auto" w:fill="auto"/>
            <w:vAlign w:val="center"/>
            <w:hideMark/>
          </w:tcPr>
          <w:p w14:paraId="47D42129"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Gravel</w:t>
            </w:r>
          </w:p>
        </w:tc>
        <w:tc>
          <w:tcPr>
            <w:tcW w:w="1680" w:type="dxa"/>
            <w:tcBorders>
              <w:top w:val="nil"/>
              <w:left w:val="nil"/>
              <w:bottom w:val="single" w:sz="8" w:space="0" w:color="auto"/>
              <w:right w:val="single" w:sz="8" w:space="0" w:color="auto"/>
            </w:tcBorders>
            <w:shd w:val="clear" w:color="auto" w:fill="auto"/>
            <w:vAlign w:val="center"/>
            <w:hideMark/>
          </w:tcPr>
          <w:p w14:paraId="3008F5F7" w14:textId="77777777" w:rsidR="00CA1694" w:rsidRPr="00C20ED5" w:rsidRDefault="00CA1694" w:rsidP="00C20ED5">
            <w:pPr>
              <w:jc w:val="center"/>
              <w:rPr>
                <w:rFonts w:ascii="Calibri" w:hAnsi="Calibri"/>
                <w:color w:val="000000"/>
                <w:sz w:val="22"/>
                <w:szCs w:val="22"/>
              </w:rPr>
            </w:pPr>
            <w:r w:rsidRPr="00C20ED5">
              <w:rPr>
                <w:rFonts w:ascii="Calibri" w:hAnsi="Calibri"/>
                <w:color w:val="000000"/>
                <w:sz w:val="22"/>
                <w:szCs w:val="22"/>
              </w:rPr>
              <w:t>Private</w:t>
            </w:r>
          </w:p>
        </w:tc>
        <w:tc>
          <w:tcPr>
            <w:tcW w:w="1300" w:type="dxa"/>
            <w:tcBorders>
              <w:top w:val="nil"/>
              <w:left w:val="nil"/>
              <w:bottom w:val="single" w:sz="8" w:space="0" w:color="auto"/>
              <w:right w:val="single" w:sz="8" w:space="0" w:color="auto"/>
            </w:tcBorders>
            <w:shd w:val="clear" w:color="auto" w:fill="auto"/>
            <w:vAlign w:val="center"/>
            <w:hideMark/>
          </w:tcPr>
          <w:p w14:paraId="62D0D6ED" w14:textId="77777777" w:rsidR="00CA1694" w:rsidRPr="00C20ED5" w:rsidRDefault="00CA1694" w:rsidP="00B8789F">
            <w:pPr>
              <w:keepNext/>
              <w:jc w:val="center"/>
              <w:rPr>
                <w:rFonts w:ascii="Calibri" w:hAnsi="Calibri"/>
                <w:color w:val="000000"/>
                <w:sz w:val="22"/>
                <w:szCs w:val="22"/>
              </w:rPr>
            </w:pPr>
            <w:r w:rsidRPr="00C20ED5">
              <w:rPr>
                <w:rFonts w:ascii="Calibri" w:hAnsi="Calibri"/>
                <w:color w:val="000000"/>
                <w:sz w:val="22"/>
                <w:szCs w:val="22"/>
              </w:rPr>
              <w:t>Fair</w:t>
            </w:r>
          </w:p>
        </w:tc>
      </w:tr>
    </w:tbl>
    <w:p w14:paraId="6B15D46F" w14:textId="4B16A347" w:rsidR="00C20ED5" w:rsidRPr="002715D7" w:rsidRDefault="009E2631" w:rsidP="00B8789F">
      <w:pPr>
        <w:pStyle w:val="Caption"/>
      </w:pPr>
      <w:r>
        <w:t xml:space="preserve">           </w:t>
      </w:r>
      <w:r w:rsidRPr="00B8789F">
        <w:rPr>
          <w:color w:val="auto"/>
        </w:rPr>
        <w:t>Source</w:t>
      </w:r>
      <w:r w:rsidRPr="00B8789F">
        <w:rPr>
          <w:b w:val="0"/>
          <w:color w:val="auto"/>
        </w:rPr>
        <w:t>: Town Records</w:t>
      </w:r>
    </w:p>
    <w:p w14:paraId="7F0C23D0" w14:textId="3E7A105E" w:rsidR="005A0283" w:rsidRPr="00B8789F" w:rsidRDefault="00F23EFD" w:rsidP="00E708DE">
      <w:pPr>
        <w:spacing w:after="120"/>
      </w:pPr>
      <w:r>
        <w:tab/>
      </w:r>
      <w:r w:rsidR="005A0283" w:rsidRPr="00B8789F">
        <w:t xml:space="preserve">In summary, </w:t>
      </w:r>
      <w:r w:rsidR="002D22EB">
        <w:t>t</w:t>
      </w:r>
      <w:r w:rsidR="005A0283">
        <w:t xml:space="preserve">here are </w:t>
      </w:r>
      <w:r w:rsidR="005A0283" w:rsidRPr="002A21C4">
        <w:t>62,505</w:t>
      </w:r>
      <w:r w:rsidR="005A0283">
        <w:t xml:space="preserve"> Ft (</w:t>
      </w:r>
      <w:r w:rsidR="005A0283" w:rsidRPr="002A21C4">
        <w:t>19,052</w:t>
      </w:r>
      <w:r w:rsidR="002D22EB">
        <w:t xml:space="preserve"> </w:t>
      </w:r>
      <w:r>
        <w:t>m</w:t>
      </w:r>
      <w:r w:rsidR="002D22EB">
        <w:t>) of state r</w:t>
      </w:r>
      <w:r w:rsidR="005A0283">
        <w:t xml:space="preserve">oads; </w:t>
      </w:r>
      <w:r w:rsidR="005A0283" w:rsidRPr="002A21C4">
        <w:t>State</w:t>
      </w:r>
      <w:r w:rsidR="005A0283" w:rsidRPr="005A0283">
        <w:t xml:space="preserve"> </w:t>
      </w:r>
      <w:r w:rsidR="005A0283" w:rsidRPr="00B8789F">
        <w:t>119,363</w:t>
      </w:r>
      <w:r w:rsidR="005A0283">
        <w:t xml:space="preserve"> Ft (</w:t>
      </w:r>
      <w:r w:rsidR="005A0283" w:rsidRPr="00B8789F">
        <w:t>36,382</w:t>
      </w:r>
      <w:r w:rsidR="005A0283">
        <w:t xml:space="preserve"> </w:t>
      </w:r>
      <w:r>
        <w:t>m</w:t>
      </w:r>
      <w:r w:rsidR="005A0283">
        <w:t>)</w:t>
      </w:r>
      <w:r>
        <w:t xml:space="preserve"> </w:t>
      </w:r>
      <w:r w:rsidR="005A0283">
        <w:t xml:space="preserve">of </w:t>
      </w:r>
      <w:r w:rsidR="002D22EB">
        <w:t>t</w:t>
      </w:r>
      <w:r w:rsidR="005A0283" w:rsidRPr="00B8789F">
        <w:t>own</w:t>
      </w:r>
      <w:r w:rsidR="002D22EB">
        <w:t xml:space="preserve"> r</w:t>
      </w:r>
      <w:r w:rsidR="005A0283">
        <w:t>oads</w:t>
      </w:r>
      <w:r w:rsidR="002D22EB">
        <w:t xml:space="preserve"> and 149,673 Ft (</w:t>
      </w:r>
      <w:r w:rsidR="005A0283" w:rsidRPr="00B8789F">
        <w:t>45,620</w:t>
      </w:r>
      <w:r w:rsidR="002D22EB">
        <w:t xml:space="preserve"> </w:t>
      </w:r>
      <w:r>
        <w:t>m</w:t>
      </w:r>
      <w:r w:rsidR="002D22EB">
        <w:t>) of p</w:t>
      </w:r>
      <w:r w:rsidR="005A0283" w:rsidRPr="00B8789F">
        <w:t>rivate</w:t>
      </w:r>
      <w:r w:rsidR="002D22EB">
        <w:t xml:space="preserve"> roads.</w:t>
      </w:r>
    </w:p>
    <w:p w14:paraId="2D3DF66A" w14:textId="1AF1406E" w:rsidR="009E2631" w:rsidRPr="0038110A" w:rsidRDefault="009E2631" w:rsidP="00E708DE">
      <w:pPr>
        <w:spacing w:after="120"/>
        <w:rPr>
          <w:u w:val="single"/>
        </w:rPr>
      </w:pPr>
      <w:r w:rsidRPr="0038110A">
        <w:rPr>
          <w:b/>
          <w:u w:val="single"/>
        </w:rPr>
        <w:t>ROAD MAINTENANCE</w:t>
      </w:r>
    </w:p>
    <w:p w14:paraId="2BE2C3A5" w14:textId="3D22F9FA" w:rsidR="00CB7E58" w:rsidRDefault="00CB7E58" w:rsidP="00E708DE">
      <w:pPr>
        <w:spacing w:after="120"/>
      </w:pPr>
      <w:r>
        <w:t>The Select Board serves as the Board of Road Commissioners in Clifton and oversees the condition of the roads as a committee.  They assume the responsibility of prioritizing road maintenance and road repair.</w:t>
      </w:r>
    </w:p>
    <w:p w14:paraId="357869F5" w14:textId="4D24526A" w:rsidR="00CB7E58" w:rsidRDefault="00CC4B5B" w:rsidP="00E708DE">
      <w:pPr>
        <w:spacing w:after="120"/>
      </w:pPr>
      <w:r>
        <w:tab/>
        <w:t xml:space="preserve">There is no Public Works Department in Clifton.  The town develops projects and statements of work and then advertises the projects for competitive bid.  </w:t>
      </w:r>
      <w:r w:rsidR="00CB7E58">
        <w:t xml:space="preserve">The Town maintains 6.86 miles </w:t>
      </w:r>
      <w:r w:rsidR="00F23EFD">
        <w:t xml:space="preserve">(11.1 km) </w:t>
      </w:r>
      <w:r w:rsidR="00CB7E58">
        <w:t xml:space="preserve">of roads year-round within Clifton. </w:t>
      </w:r>
      <w:r>
        <w:t xml:space="preserve"> </w:t>
      </w:r>
      <w:r w:rsidR="00CB7E58">
        <w:t xml:space="preserve">The Town performs winter snow plowing and sanding on 12.13 </w:t>
      </w:r>
      <w:r w:rsidR="00F23EFD">
        <w:t xml:space="preserve">(19.6 km) </w:t>
      </w:r>
      <w:r w:rsidR="00CB7E58">
        <w:t xml:space="preserve">miles of road, which includes town maintained roads and Rebel Hill Road, a state-owned road (5.27 miles </w:t>
      </w:r>
      <w:r w:rsidR="00F23EFD">
        <w:t xml:space="preserve">(8.5 km) </w:t>
      </w:r>
      <w:r w:rsidR="00CB7E58">
        <w:t>on Route 180).</w:t>
      </w:r>
      <w:r>
        <w:t xml:space="preserve">  The table below shows recent history for road maintenance in Clifton.</w:t>
      </w:r>
    </w:p>
    <w:p w14:paraId="2FBA115D" w14:textId="3E77123C" w:rsidR="00011695" w:rsidRDefault="00B569C3" w:rsidP="00B8789F">
      <w:pPr>
        <w:spacing w:after="180"/>
      </w:pPr>
      <w:r>
        <w:tab/>
        <w:t xml:space="preserve">The Maine Department of Transportation maintains and administers activity for non-local roads.  Their authority includes permitting of driveways and entrances, curb cuts, summer and winter maintenance, and traffic flow and safety decisions such as traffic signals, signs, reconstruction and road widening.  The Urban-Rural Initiative Program (URIP) requires each municipality to certify that the funds will be used only for capital improvement of public roads.  </w:t>
      </w:r>
      <w:r w:rsidR="008A7F11">
        <w:t>Additionally, the town receives funds through the tax increment finance (TIF) account to perform some types of maintenance, upgrades, or new construction as a result of the Pisgah Mountain Wind Energy project.</w:t>
      </w:r>
    </w:p>
    <w:tbl>
      <w:tblPr>
        <w:tblW w:w="9360" w:type="dxa"/>
        <w:tblInd w:w="93" w:type="dxa"/>
        <w:tblLook w:val="04A0" w:firstRow="1" w:lastRow="0" w:firstColumn="1" w:lastColumn="0" w:noHBand="0" w:noVBand="1"/>
      </w:tblPr>
      <w:tblGrid>
        <w:gridCol w:w="2020"/>
        <w:gridCol w:w="1243"/>
        <w:gridCol w:w="1244"/>
        <w:gridCol w:w="1244"/>
        <w:gridCol w:w="1244"/>
        <w:gridCol w:w="1244"/>
        <w:gridCol w:w="1244"/>
      </w:tblGrid>
      <w:tr w:rsidR="00B8789F" w:rsidRPr="00B8789F" w14:paraId="549DABC8" w14:textId="77777777" w:rsidTr="00602D22">
        <w:trPr>
          <w:trHeight w:val="300"/>
        </w:trPr>
        <w:tc>
          <w:tcPr>
            <w:tcW w:w="2120" w:type="dxa"/>
            <w:vMerge w:val="restart"/>
            <w:tcBorders>
              <w:top w:val="nil"/>
              <w:left w:val="nil"/>
              <w:bottom w:val="single" w:sz="4" w:space="0" w:color="000000"/>
              <w:right w:val="single" w:sz="4" w:space="0" w:color="auto"/>
            </w:tcBorders>
            <w:shd w:val="clear" w:color="000000" w:fill="CCFFCC"/>
            <w:vAlign w:val="center"/>
            <w:hideMark/>
          </w:tcPr>
          <w:p w14:paraId="3B639961" w14:textId="77777777" w:rsidR="00B8789F" w:rsidRPr="00B8789F" w:rsidRDefault="00B8789F" w:rsidP="00B8789F">
            <w:pPr>
              <w:jc w:val="center"/>
              <w:rPr>
                <w:rFonts w:ascii="Calibri" w:hAnsi="Calibri"/>
                <w:b/>
                <w:bCs/>
                <w:color w:val="000000"/>
                <w:sz w:val="20"/>
                <w:szCs w:val="20"/>
              </w:rPr>
            </w:pPr>
            <w:r w:rsidRPr="00B8789F">
              <w:rPr>
                <w:rFonts w:ascii="Calibri" w:hAnsi="Calibri"/>
                <w:b/>
                <w:bCs/>
                <w:color w:val="000000"/>
                <w:sz w:val="20"/>
                <w:szCs w:val="20"/>
              </w:rPr>
              <w:t>Road Expenses (Annual Report)</w:t>
            </w:r>
          </w:p>
        </w:tc>
        <w:tc>
          <w:tcPr>
            <w:tcW w:w="7800" w:type="dxa"/>
            <w:gridSpan w:val="6"/>
            <w:tcBorders>
              <w:top w:val="nil"/>
              <w:left w:val="nil"/>
              <w:bottom w:val="nil"/>
              <w:right w:val="nil"/>
            </w:tcBorders>
            <w:shd w:val="clear" w:color="000000" w:fill="CCFFCC"/>
            <w:noWrap/>
            <w:vAlign w:val="bottom"/>
            <w:hideMark/>
          </w:tcPr>
          <w:p w14:paraId="76FFF66D" w14:textId="77777777" w:rsidR="00B8789F" w:rsidRPr="00B8789F" w:rsidRDefault="00B8789F" w:rsidP="00B8789F">
            <w:pPr>
              <w:jc w:val="center"/>
              <w:rPr>
                <w:rFonts w:ascii="Calibri" w:hAnsi="Calibri"/>
                <w:b/>
                <w:bCs/>
                <w:color w:val="000000"/>
                <w:sz w:val="20"/>
                <w:szCs w:val="20"/>
              </w:rPr>
            </w:pPr>
            <w:r w:rsidRPr="00B8789F">
              <w:rPr>
                <w:rFonts w:ascii="Calibri" w:hAnsi="Calibri"/>
                <w:b/>
                <w:bCs/>
                <w:color w:val="000000"/>
                <w:sz w:val="20"/>
                <w:szCs w:val="20"/>
              </w:rPr>
              <w:t>Calendar Year</w:t>
            </w:r>
          </w:p>
        </w:tc>
      </w:tr>
      <w:tr w:rsidR="00B8789F" w:rsidRPr="00B8789F" w14:paraId="49A544E0" w14:textId="77777777" w:rsidTr="00602D22">
        <w:trPr>
          <w:trHeight w:val="300"/>
        </w:trPr>
        <w:tc>
          <w:tcPr>
            <w:tcW w:w="2120" w:type="dxa"/>
            <w:vMerge/>
            <w:tcBorders>
              <w:top w:val="nil"/>
              <w:left w:val="nil"/>
              <w:bottom w:val="single" w:sz="4" w:space="0" w:color="000000"/>
              <w:right w:val="single" w:sz="4" w:space="0" w:color="auto"/>
            </w:tcBorders>
            <w:vAlign w:val="center"/>
            <w:hideMark/>
          </w:tcPr>
          <w:p w14:paraId="3FD3FEFC" w14:textId="77777777" w:rsidR="00B8789F" w:rsidRPr="00B8789F" w:rsidRDefault="00B8789F" w:rsidP="00B8789F">
            <w:pPr>
              <w:rPr>
                <w:rFonts w:ascii="Calibri" w:hAnsi="Calibri"/>
                <w:b/>
                <w:bCs/>
                <w:color w:val="000000"/>
                <w:sz w:val="20"/>
                <w:szCs w:val="20"/>
              </w:rPr>
            </w:pPr>
          </w:p>
        </w:tc>
        <w:tc>
          <w:tcPr>
            <w:tcW w:w="1300" w:type="dxa"/>
            <w:tcBorders>
              <w:top w:val="nil"/>
              <w:left w:val="nil"/>
              <w:bottom w:val="single" w:sz="4" w:space="0" w:color="auto"/>
              <w:right w:val="single" w:sz="4" w:space="0" w:color="auto"/>
            </w:tcBorders>
            <w:shd w:val="clear" w:color="000000" w:fill="CCFFCC"/>
            <w:noWrap/>
            <w:vAlign w:val="bottom"/>
            <w:hideMark/>
          </w:tcPr>
          <w:p w14:paraId="42E9CF88" w14:textId="77777777" w:rsidR="00B8789F" w:rsidRPr="00B8789F" w:rsidRDefault="00B8789F" w:rsidP="00B8789F">
            <w:pPr>
              <w:jc w:val="center"/>
              <w:rPr>
                <w:rFonts w:ascii="Calibri" w:hAnsi="Calibri"/>
                <w:b/>
                <w:bCs/>
                <w:color w:val="000000"/>
                <w:sz w:val="20"/>
                <w:szCs w:val="20"/>
              </w:rPr>
            </w:pPr>
            <w:r w:rsidRPr="00B8789F">
              <w:rPr>
                <w:rFonts w:ascii="Calibri" w:hAnsi="Calibri"/>
                <w:b/>
                <w:bCs/>
                <w:color w:val="000000"/>
                <w:sz w:val="20"/>
                <w:szCs w:val="20"/>
              </w:rPr>
              <w:t>2012</w:t>
            </w:r>
          </w:p>
        </w:tc>
        <w:tc>
          <w:tcPr>
            <w:tcW w:w="1300" w:type="dxa"/>
            <w:tcBorders>
              <w:top w:val="nil"/>
              <w:left w:val="nil"/>
              <w:bottom w:val="single" w:sz="4" w:space="0" w:color="auto"/>
              <w:right w:val="single" w:sz="4" w:space="0" w:color="auto"/>
            </w:tcBorders>
            <w:shd w:val="clear" w:color="000000" w:fill="CCFFCC"/>
            <w:noWrap/>
            <w:vAlign w:val="bottom"/>
            <w:hideMark/>
          </w:tcPr>
          <w:p w14:paraId="1ECB60E9" w14:textId="77777777" w:rsidR="00B8789F" w:rsidRPr="00B8789F" w:rsidRDefault="00B8789F" w:rsidP="00B8789F">
            <w:pPr>
              <w:jc w:val="center"/>
              <w:rPr>
                <w:rFonts w:ascii="Calibri" w:hAnsi="Calibri"/>
                <w:b/>
                <w:bCs/>
                <w:color w:val="000000"/>
                <w:sz w:val="20"/>
                <w:szCs w:val="20"/>
              </w:rPr>
            </w:pPr>
            <w:r w:rsidRPr="00B8789F">
              <w:rPr>
                <w:rFonts w:ascii="Calibri" w:hAnsi="Calibri"/>
                <w:b/>
                <w:bCs/>
                <w:color w:val="000000"/>
                <w:sz w:val="20"/>
                <w:szCs w:val="20"/>
              </w:rPr>
              <w:t>2013</w:t>
            </w:r>
          </w:p>
        </w:tc>
        <w:tc>
          <w:tcPr>
            <w:tcW w:w="1300" w:type="dxa"/>
            <w:tcBorders>
              <w:top w:val="nil"/>
              <w:left w:val="nil"/>
              <w:bottom w:val="single" w:sz="4" w:space="0" w:color="auto"/>
              <w:right w:val="single" w:sz="4" w:space="0" w:color="auto"/>
            </w:tcBorders>
            <w:shd w:val="clear" w:color="000000" w:fill="CCFFCC"/>
            <w:noWrap/>
            <w:vAlign w:val="bottom"/>
            <w:hideMark/>
          </w:tcPr>
          <w:p w14:paraId="7B518F93" w14:textId="77777777" w:rsidR="00B8789F" w:rsidRPr="00B8789F" w:rsidRDefault="00B8789F" w:rsidP="00B8789F">
            <w:pPr>
              <w:jc w:val="center"/>
              <w:rPr>
                <w:rFonts w:ascii="Calibri" w:hAnsi="Calibri"/>
                <w:b/>
                <w:bCs/>
                <w:color w:val="000000"/>
                <w:sz w:val="20"/>
                <w:szCs w:val="20"/>
              </w:rPr>
            </w:pPr>
            <w:r w:rsidRPr="00B8789F">
              <w:rPr>
                <w:rFonts w:ascii="Calibri" w:hAnsi="Calibri"/>
                <w:b/>
                <w:bCs/>
                <w:color w:val="000000"/>
                <w:sz w:val="20"/>
                <w:szCs w:val="20"/>
              </w:rPr>
              <w:t>2014</w:t>
            </w:r>
          </w:p>
        </w:tc>
        <w:tc>
          <w:tcPr>
            <w:tcW w:w="1300" w:type="dxa"/>
            <w:tcBorders>
              <w:top w:val="nil"/>
              <w:left w:val="nil"/>
              <w:bottom w:val="single" w:sz="4" w:space="0" w:color="auto"/>
              <w:right w:val="single" w:sz="4" w:space="0" w:color="auto"/>
            </w:tcBorders>
            <w:shd w:val="clear" w:color="000000" w:fill="CCFFCC"/>
            <w:noWrap/>
            <w:vAlign w:val="bottom"/>
            <w:hideMark/>
          </w:tcPr>
          <w:p w14:paraId="02FDFECE" w14:textId="77777777" w:rsidR="00B8789F" w:rsidRPr="00B8789F" w:rsidRDefault="00B8789F" w:rsidP="00B8789F">
            <w:pPr>
              <w:jc w:val="center"/>
              <w:rPr>
                <w:rFonts w:ascii="Calibri" w:hAnsi="Calibri"/>
                <w:b/>
                <w:bCs/>
                <w:color w:val="000000"/>
                <w:sz w:val="20"/>
                <w:szCs w:val="20"/>
              </w:rPr>
            </w:pPr>
            <w:r w:rsidRPr="00B8789F">
              <w:rPr>
                <w:rFonts w:ascii="Calibri" w:hAnsi="Calibri"/>
                <w:b/>
                <w:bCs/>
                <w:color w:val="000000"/>
                <w:sz w:val="20"/>
                <w:szCs w:val="20"/>
              </w:rPr>
              <w:t>2015</w:t>
            </w:r>
          </w:p>
        </w:tc>
        <w:tc>
          <w:tcPr>
            <w:tcW w:w="1300" w:type="dxa"/>
            <w:tcBorders>
              <w:top w:val="nil"/>
              <w:left w:val="nil"/>
              <w:bottom w:val="single" w:sz="4" w:space="0" w:color="auto"/>
              <w:right w:val="single" w:sz="4" w:space="0" w:color="auto"/>
            </w:tcBorders>
            <w:shd w:val="clear" w:color="000000" w:fill="CCFFCC"/>
            <w:noWrap/>
            <w:vAlign w:val="bottom"/>
            <w:hideMark/>
          </w:tcPr>
          <w:p w14:paraId="6524D6D0" w14:textId="77777777" w:rsidR="00B8789F" w:rsidRPr="00B8789F" w:rsidRDefault="00B8789F" w:rsidP="00B8789F">
            <w:pPr>
              <w:jc w:val="center"/>
              <w:rPr>
                <w:rFonts w:ascii="Calibri" w:hAnsi="Calibri"/>
                <w:b/>
                <w:bCs/>
                <w:color w:val="000000"/>
                <w:sz w:val="20"/>
                <w:szCs w:val="20"/>
              </w:rPr>
            </w:pPr>
            <w:r w:rsidRPr="00B8789F">
              <w:rPr>
                <w:rFonts w:ascii="Calibri" w:hAnsi="Calibri"/>
                <w:b/>
                <w:bCs/>
                <w:color w:val="000000"/>
                <w:sz w:val="20"/>
                <w:szCs w:val="20"/>
              </w:rPr>
              <w:t>2016</w:t>
            </w:r>
          </w:p>
        </w:tc>
        <w:tc>
          <w:tcPr>
            <w:tcW w:w="1300" w:type="dxa"/>
            <w:tcBorders>
              <w:top w:val="nil"/>
              <w:left w:val="nil"/>
              <w:bottom w:val="single" w:sz="4" w:space="0" w:color="auto"/>
              <w:right w:val="single" w:sz="4" w:space="0" w:color="auto"/>
            </w:tcBorders>
            <w:shd w:val="clear" w:color="000000" w:fill="CCFFCC"/>
            <w:noWrap/>
            <w:vAlign w:val="bottom"/>
            <w:hideMark/>
          </w:tcPr>
          <w:p w14:paraId="5151C953" w14:textId="77777777" w:rsidR="00B8789F" w:rsidRPr="00B8789F" w:rsidRDefault="00B8789F" w:rsidP="00B8789F">
            <w:pPr>
              <w:jc w:val="center"/>
              <w:rPr>
                <w:rFonts w:ascii="Calibri" w:hAnsi="Calibri"/>
                <w:b/>
                <w:bCs/>
                <w:color w:val="000000"/>
                <w:sz w:val="20"/>
                <w:szCs w:val="20"/>
              </w:rPr>
            </w:pPr>
            <w:r w:rsidRPr="00B8789F">
              <w:rPr>
                <w:rFonts w:ascii="Calibri" w:hAnsi="Calibri"/>
                <w:b/>
                <w:bCs/>
                <w:color w:val="000000"/>
                <w:sz w:val="20"/>
                <w:szCs w:val="20"/>
              </w:rPr>
              <w:t>2017</w:t>
            </w:r>
          </w:p>
        </w:tc>
      </w:tr>
      <w:tr w:rsidR="00B8789F" w:rsidRPr="00B8789F" w14:paraId="1F9C4AB4" w14:textId="77777777" w:rsidTr="00602D22">
        <w:trPr>
          <w:trHeight w:val="300"/>
        </w:trPr>
        <w:tc>
          <w:tcPr>
            <w:tcW w:w="2120" w:type="dxa"/>
            <w:tcBorders>
              <w:top w:val="nil"/>
              <w:left w:val="nil"/>
              <w:bottom w:val="nil"/>
              <w:right w:val="single" w:sz="4" w:space="0" w:color="auto"/>
            </w:tcBorders>
            <w:shd w:val="clear" w:color="auto" w:fill="auto"/>
            <w:noWrap/>
            <w:vAlign w:val="center"/>
            <w:hideMark/>
          </w:tcPr>
          <w:p w14:paraId="64502967" w14:textId="77777777" w:rsidR="00B8789F" w:rsidRPr="00B8789F" w:rsidRDefault="00B8789F" w:rsidP="00B8789F">
            <w:pPr>
              <w:jc w:val="center"/>
              <w:rPr>
                <w:rFonts w:ascii="Calibri" w:hAnsi="Calibri"/>
                <w:b/>
                <w:bCs/>
                <w:color w:val="000000"/>
                <w:sz w:val="20"/>
                <w:szCs w:val="20"/>
              </w:rPr>
            </w:pPr>
            <w:r w:rsidRPr="00B8789F">
              <w:rPr>
                <w:rFonts w:ascii="Calibri" w:hAnsi="Calibri"/>
                <w:b/>
                <w:bCs/>
                <w:color w:val="000000"/>
                <w:sz w:val="20"/>
                <w:szCs w:val="20"/>
              </w:rPr>
              <w:t>Capital Expenses</w:t>
            </w:r>
          </w:p>
        </w:tc>
        <w:tc>
          <w:tcPr>
            <w:tcW w:w="1300" w:type="dxa"/>
            <w:tcBorders>
              <w:top w:val="nil"/>
              <w:left w:val="nil"/>
              <w:bottom w:val="nil"/>
              <w:right w:val="single" w:sz="4" w:space="0" w:color="auto"/>
            </w:tcBorders>
            <w:shd w:val="clear" w:color="auto" w:fill="auto"/>
            <w:noWrap/>
            <w:vAlign w:val="center"/>
            <w:hideMark/>
          </w:tcPr>
          <w:p w14:paraId="72514110"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$13,701</w:t>
            </w:r>
          </w:p>
        </w:tc>
        <w:tc>
          <w:tcPr>
            <w:tcW w:w="1300" w:type="dxa"/>
            <w:tcBorders>
              <w:top w:val="nil"/>
              <w:left w:val="nil"/>
              <w:bottom w:val="nil"/>
              <w:right w:val="single" w:sz="4" w:space="0" w:color="auto"/>
            </w:tcBorders>
            <w:shd w:val="clear" w:color="auto" w:fill="auto"/>
            <w:noWrap/>
            <w:vAlign w:val="center"/>
            <w:hideMark/>
          </w:tcPr>
          <w:p w14:paraId="3239EB30"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$26,162</w:t>
            </w:r>
          </w:p>
        </w:tc>
        <w:tc>
          <w:tcPr>
            <w:tcW w:w="1300" w:type="dxa"/>
            <w:tcBorders>
              <w:top w:val="nil"/>
              <w:left w:val="nil"/>
              <w:bottom w:val="nil"/>
              <w:right w:val="single" w:sz="4" w:space="0" w:color="auto"/>
            </w:tcBorders>
            <w:shd w:val="clear" w:color="auto" w:fill="auto"/>
            <w:noWrap/>
            <w:vAlign w:val="bottom"/>
            <w:hideMark/>
          </w:tcPr>
          <w:p w14:paraId="73006B53"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$24,120</w:t>
            </w:r>
          </w:p>
        </w:tc>
        <w:tc>
          <w:tcPr>
            <w:tcW w:w="1300" w:type="dxa"/>
            <w:tcBorders>
              <w:top w:val="nil"/>
              <w:left w:val="nil"/>
              <w:bottom w:val="nil"/>
              <w:right w:val="single" w:sz="4" w:space="0" w:color="auto"/>
            </w:tcBorders>
            <w:shd w:val="clear" w:color="auto" w:fill="auto"/>
            <w:noWrap/>
            <w:vAlign w:val="bottom"/>
            <w:hideMark/>
          </w:tcPr>
          <w:p w14:paraId="722235A7"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25713417"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$19,830</w:t>
            </w:r>
          </w:p>
        </w:tc>
        <w:tc>
          <w:tcPr>
            <w:tcW w:w="1300" w:type="dxa"/>
            <w:tcBorders>
              <w:top w:val="nil"/>
              <w:left w:val="nil"/>
              <w:bottom w:val="nil"/>
              <w:right w:val="single" w:sz="4" w:space="0" w:color="auto"/>
            </w:tcBorders>
            <w:shd w:val="clear" w:color="auto" w:fill="auto"/>
            <w:noWrap/>
            <w:vAlign w:val="bottom"/>
            <w:hideMark/>
          </w:tcPr>
          <w:p w14:paraId="02E829E8"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$0</w:t>
            </w:r>
          </w:p>
        </w:tc>
      </w:tr>
      <w:tr w:rsidR="00B8789F" w:rsidRPr="00B8789F" w14:paraId="28F75CDF" w14:textId="77777777" w:rsidTr="00602D22">
        <w:trPr>
          <w:trHeight w:val="300"/>
        </w:trPr>
        <w:tc>
          <w:tcPr>
            <w:tcW w:w="2120" w:type="dxa"/>
            <w:tcBorders>
              <w:top w:val="nil"/>
              <w:left w:val="nil"/>
              <w:bottom w:val="nil"/>
              <w:right w:val="single" w:sz="4" w:space="0" w:color="auto"/>
            </w:tcBorders>
            <w:shd w:val="clear" w:color="auto" w:fill="auto"/>
            <w:noWrap/>
            <w:vAlign w:val="center"/>
            <w:hideMark/>
          </w:tcPr>
          <w:p w14:paraId="49EA8F51" w14:textId="77777777" w:rsidR="00B8789F" w:rsidRPr="00B8789F" w:rsidRDefault="00B8789F" w:rsidP="00B8789F">
            <w:pPr>
              <w:jc w:val="center"/>
              <w:rPr>
                <w:rFonts w:ascii="Calibri" w:hAnsi="Calibri"/>
                <w:b/>
                <w:bCs/>
                <w:color w:val="000000"/>
                <w:sz w:val="20"/>
                <w:szCs w:val="20"/>
              </w:rPr>
            </w:pPr>
            <w:r w:rsidRPr="00B8789F">
              <w:rPr>
                <w:rFonts w:ascii="Calibri" w:hAnsi="Calibri"/>
                <w:b/>
                <w:bCs/>
                <w:color w:val="000000"/>
                <w:sz w:val="20"/>
                <w:szCs w:val="20"/>
              </w:rPr>
              <w:t>Maintenance</w:t>
            </w:r>
          </w:p>
        </w:tc>
        <w:tc>
          <w:tcPr>
            <w:tcW w:w="1300" w:type="dxa"/>
            <w:tcBorders>
              <w:top w:val="nil"/>
              <w:left w:val="nil"/>
              <w:bottom w:val="nil"/>
              <w:right w:val="single" w:sz="4" w:space="0" w:color="auto"/>
            </w:tcBorders>
            <w:shd w:val="clear" w:color="auto" w:fill="auto"/>
            <w:noWrap/>
            <w:vAlign w:val="center"/>
            <w:hideMark/>
          </w:tcPr>
          <w:p w14:paraId="4689028C"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$4,623</w:t>
            </w:r>
          </w:p>
        </w:tc>
        <w:tc>
          <w:tcPr>
            <w:tcW w:w="1300" w:type="dxa"/>
            <w:tcBorders>
              <w:top w:val="nil"/>
              <w:left w:val="nil"/>
              <w:bottom w:val="nil"/>
              <w:right w:val="single" w:sz="4" w:space="0" w:color="auto"/>
            </w:tcBorders>
            <w:shd w:val="clear" w:color="auto" w:fill="auto"/>
            <w:noWrap/>
            <w:vAlign w:val="center"/>
            <w:hideMark/>
          </w:tcPr>
          <w:p w14:paraId="113392D3"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$19,492</w:t>
            </w:r>
          </w:p>
        </w:tc>
        <w:tc>
          <w:tcPr>
            <w:tcW w:w="1300" w:type="dxa"/>
            <w:tcBorders>
              <w:top w:val="nil"/>
              <w:left w:val="nil"/>
              <w:bottom w:val="nil"/>
              <w:right w:val="single" w:sz="4" w:space="0" w:color="auto"/>
            </w:tcBorders>
            <w:shd w:val="clear" w:color="auto" w:fill="auto"/>
            <w:noWrap/>
            <w:vAlign w:val="bottom"/>
            <w:hideMark/>
          </w:tcPr>
          <w:p w14:paraId="02945397"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$18,766</w:t>
            </w:r>
          </w:p>
        </w:tc>
        <w:tc>
          <w:tcPr>
            <w:tcW w:w="1300" w:type="dxa"/>
            <w:tcBorders>
              <w:top w:val="nil"/>
              <w:left w:val="nil"/>
              <w:bottom w:val="nil"/>
              <w:right w:val="single" w:sz="4" w:space="0" w:color="auto"/>
            </w:tcBorders>
            <w:shd w:val="clear" w:color="auto" w:fill="auto"/>
            <w:noWrap/>
            <w:vAlign w:val="bottom"/>
            <w:hideMark/>
          </w:tcPr>
          <w:p w14:paraId="0F577E68"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$16,716</w:t>
            </w:r>
          </w:p>
        </w:tc>
        <w:tc>
          <w:tcPr>
            <w:tcW w:w="1300" w:type="dxa"/>
            <w:tcBorders>
              <w:top w:val="nil"/>
              <w:left w:val="nil"/>
              <w:bottom w:val="nil"/>
              <w:right w:val="single" w:sz="4" w:space="0" w:color="auto"/>
            </w:tcBorders>
            <w:shd w:val="clear" w:color="auto" w:fill="auto"/>
            <w:noWrap/>
            <w:vAlign w:val="bottom"/>
            <w:hideMark/>
          </w:tcPr>
          <w:p w14:paraId="2A991841"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$21,504</w:t>
            </w:r>
          </w:p>
        </w:tc>
        <w:tc>
          <w:tcPr>
            <w:tcW w:w="1300" w:type="dxa"/>
            <w:tcBorders>
              <w:top w:val="nil"/>
              <w:left w:val="nil"/>
              <w:bottom w:val="nil"/>
              <w:right w:val="single" w:sz="4" w:space="0" w:color="auto"/>
            </w:tcBorders>
            <w:shd w:val="clear" w:color="auto" w:fill="auto"/>
            <w:noWrap/>
            <w:vAlign w:val="bottom"/>
            <w:hideMark/>
          </w:tcPr>
          <w:p w14:paraId="4E443022"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$17,141</w:t>
            </w:r>
          </w:p>
        </w:tc>
      </w:tr>
      <w:tr w:rsidR="00B8789F" w:rsidRPr="00B8789F" w14:paraId="3CBE2198" w14:textId="77777777" w:rsidTr="00602D22">
        <w:trPr>
          <w:trHeight w:val="300"/>
        </w:trPr>
        <w:tc>
          <w:tcPr>
            <w:tcW w:w="2120" w:type="dxa"/>
            <w:tcBorders>
              <w:top w:val="nil"/>
              <w:left w:val="nil"/>
              <w:bottom w:val="nil"/>
              <w:right w:val="single" w:sz="4" w:space="0" w:color="auto"/>
            </w:tcBorders>
            <w:shd w:val="clear" w:color="auto" w:fill="auto"/>
            <w:noWrap/>
            <w:vAlign w:val="center"/>
            <w:hideMark/>
          </w:tcPr>
          <w:p w14:paraId="34B2ACA8" w14:textId="77777777" w:rsidR="00B8789F" w:rsidRPr="00B8789F" w:rsidRDefault="00B8789F" w:rsidP="00B8789F">
            <w:pPr>
              <w:jc w:val="center"/>
              <w:rPr>
                <w:rFonts w:ascii="Calibri" w:hAnsi="Calibri"/>
                <w:b/>
                <w:bCs/>
                <w:color w:val="000000"/>
                <w:sz w:val="20"/>
                <w:szCs w:val="20"/>
              </w:rPr>
            </w:pPr>
            <w:r w:rsidRPr="00B8789F">
              <w:rPr>
                <w:rFonts w:ascii="Calibri" w:hAnsi="Calibri"/>
                <w:b/>
                <w:bCs/>
                <w:color w:val="000000"/>
                <w:sz w:val="20"/>
                <w:szCs w:val="20"/>
              </w:rPr>
              <w:t>Snow Removal</w:t>
            </w:r>
          </w:p>
        </w:tc>
        <w:tc>
          <w:tcPr>
            <w:tcW w:w="1300" w:type="dxa"/>
            <w:tcBorders>
              <w:top w:val="nil"/>
              <w:left w:val="nil"/>
              <w:bottom w:val="nil"/>
              <w:right w:val="single" w:sz="4" w:space="0" w:color="auto"/>
            </w:tcBorders>
            <w:shd w:val="clear" w:color="auto" w:fill="auto"/>
            <w:noWrap/>
            <w:vAlign w:val="center"/>
            <w:hideMark/>
          </w:tcPr>
          <w:p w14:paraId="4596741C"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$52,780</w:t>
            </w:r>
          </w:p>
        </w:tc>
        <w:tc>
          <w:tcPr>
            <w:tcW w:w="1300" w:type="dxa"/>
            <w:tcBorders>
              <w:top w:val="nil"/>
              <w:left w:val="nil"/>
              <w:bottom w:val="nil"/>
              <w:right w:val="single" w:sz="4" w:space="0" w:color="auto"/>
            </w:tcBorders>
            <w:shd w:val="clear" w:color="auto" w:fill="auto"/>
            <w:noWrap/>
            <w:vAlign w:val="center"/>
            <w:hideMark/>
          </w:tcPr>
          <w:p w14:paraId="37F13029"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$67,883</w:t>
            </w:r>
          </w:p>
        </w:tc>
        <w:tc>
          <w:tcPr>
            <w:tcW w:w="1300" w:type="dxa"/>
            <w:tcBorders>
              <w:top w:val="nil"/>
              <w:left w:val="nil"/>
              <w:bottom w:val="nil"/>
              <w:right w:val="single" w:sz="4" w:space="0" w:color="auto"/>
            </w:tcBorders>
            <w:shd w:val="clear" w:color="auto" w:fill="auto"/>
            <w:noWrap/>
            <w:vAlign w:val="bottom"/>
            <w:hideMark/>
          </w:tcPr>
          <w:p w14:paraId="3AD17481"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$51,885</w:t>
            </w:r>
          </w:p>
        </w:tc>
        <w:tc>
          <w:tcPr>
            <w:tcW w:w="1300" w:type="dxa"/>
            <w:tcBorders>
              <w:top w:val="nil"/>
              <w:left w:val="nil"/>
              <w:bottom w:val="nil"/>
              <w:right w:val="single" w:sz="4" w:space="0" w:color="auto"/>
            </w:tcBorders>
            <w:shd w:val="clear" w:color="auto" w:fill="auto"/>
            <w:noWrap/>
            <w:vAlign w:val="bottom"/>
            <w:hideMark/>
          </w:tcPr>
          <w:p w14:paraId="106F4A04"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$51,665</w:t>
            </w:r>
          </w:p>
        </w:tc>
        <w:tc>
          <w:tcPr>
            <w:tcW w:w="1300" w:type="dxa"/>
            <w:tcBorders>
              <w:top w:val="nil"/>
              <w:left w:val="nil"/>
              <w:bottom w:val="nil"/>
              <w:right w:val="single" w:sz="4" w:space="0" w:color="auto"/>
            </w:tcBorders>
            <w:shd w:val="clear" w:color="auto" w:fill="auto"/>
            <w:noWrap/>
            <w:vAlign w:val="bottom"/>
            <w:hideMark/>
          </w:tcPr>
          <w:p w14:paraId="18772411"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$72,864</w:t>
            </w:r>
          </w:p>
        </w:tc>
        <w:tc>
          <w:tcPr>
            <w:tcW w:w="1300" w:type="dxa"/>
            <w:tcBorders>
              <w:top w:val="nil"/>
              <w:left w:val="nil"/>
              <w:bottom w:val="nil"/>
              <w:right w:val="single" w:sz="4" w:space="0" w:color="auto"/>
            </w:tcBorders>
            <w:shd w:val="clear" w:color="auto" w:fill="auto"/>
            <w:noWrap/>
            <w:vAlign w:val="bottom"/>
            <w:hideMark/>
          </w:tcPr>
          <w:p w14:paraId="2DAF64E3"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$75,040</w:t>
            </w:r>
          </w:p>
        </w:tc>
      </w:tr>
      <w:tr w:rsidR="00B8789F" w:rsidRPr="00B8789F" w14:paraId="58ECE1EE" w14:textId="77777777" w:rsidTr="00602D22">
        <w:trPr>
          <w:trHeight w:val="300"/>
        </w:trPr>
        <w:tc>
          <w:tcPr>
            <w:tcW w:w="2120" w:type="dxa"/>
            <w:tcBorders>
              <w:top w:val="nil"/>
              <w:left w:val="nil"/>
              <w:bottom w:val="nil"/>
              <w:right w:val="single" w:sz="4" w:space="0" w:color="auto"/>
            </w:tcBorders>
            <w:shd w:val="clear" w:color="auto" w:fill="auto"/>
            <w:noWrap/>
            <w:vAlign w:val="center"/>
            <w:hideMark/>
          </w:tcPr>
          <w:p w14:paraId="651BA8D8" w14:textId="77777777" w:rsidR="00B8789F" w:rsidRPr="00B8789F" w:rsidRDefault="00B8789F" w:rsidP="00B8789F">
            <w:pPr>
              <w:jc w:val="center"/>
              <w:rPr>
                <w:rFonts w:ascii="Calibri" w:hAnsi="Calibri"/>
                <w:b/>
                <w:bCs/>
                <w:color w:val="000000"/>
                <w:sz w:val="20"/>
                <w:szCs w:val="20"/>
              </w:rPr>
            </w:pPr>
            <w:r w:rsidRPr="00B8789F">
              <w:rPr>
                <w:rFonts w:ascii="Calibri" w:hAnsi="Calibri"/>
                <w:b/>
                <w:bCs/>
                <w:color w:val="000000"/>
                <w:sz w:val="20"/>
                <w:szCs w:val="20"/>
              </w:rPr>
              <w:t>Sand and Salt</w:t>
            </w:r>
          </w:p>
        </w:tc>
        <w:tc>
          <w:tcPr>
            <w:tcW w:w="1300" w:type="dxa"/>
            <w:tcBorders>
              <w:top w:val="nil"/>
              <w:left w:val="nil"/>
              <w:bottom w:val="nil"/>
              <w:right w:val="single" w:sz="4" w:space="0" w:color="auto"/>
            </w:tcBorders>
            <w:shd w:val="clear" w:color="auto" w:fill="auto"/>
            <w:noWrap/>
            <w:vAlign w:val="center"/>
            <w:hideMark/>
          </w:tcPr>
          <w:p w14:paraId="7129647F"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$35,293</w:t>
            </w:r>
          </w:p>
        </w:tc>
        <w:tc>
          <w:tcPr>
            <w:tcW w:w="1300" w:type="dxa"/>
            <w:tcBorders>
              <w:top w:val="nil"/>
              <w:left w:val="nil"/>
              <w:bottom w:val="nil"/>
              <w:right w:val="single" w:sz="4" w:space="0" w:color="auto"/>
            </w:tcBorders>
            <w:shd w:val="clear" w:color="auto" w:fill="auto"/>
            <w:noWrap/>
            <w:vAlign w:val="center"/>
            <w:hideMark/>
          </w:tcPr>
          <w:p w14:paraId="5C0149E8"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$36,498</w:t>
            </w:r>
          </w:p>
        </w:tc>
        <w:tc>
          <w:tcPr>
            <w:tcW w:w="1300" w:type="dxa"/>
            <w:tcBorders>
              <w:top w:val="nil"/>
              <w:left w:val="nil"/>
              <w:bottom w:val="nil"/>
              <w:right w:val="single" w:sz="4" w:space="0" w:color="auto"/>
            </w:tcBorders>
            <w:shd w:val="clear" w:color="auto" w:fill="auto"/>
            <w:noWrap/>
            <w:vAlign w:val="bottom"/>
            <w:hideMark/>
          </w:tcPr>
          <w:p w14:paraId="387D272B"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$35,975</w:t>
            </w:r>
          </w:p>
        </w:tc>
        <w:tc>
          <w:tcPr>
            <w:tcW w:w="1300" w:type="dxa"/>
            <w:tcBorders>
              <w:top w:val="nil"/>
              <w:left w:val="nil"/>
              <w:bottom w:val="nil"/>
              <w:right w:val="single" w:sz="4" w:space="0" w:color="auto"/>
            </w:tcBorders>
            <w:shd w:val="clear" w:color="auto" w:fill="auto"/>
            <w:noWrap/>
            <w:vAlign w:val="bottom"/>
            <w:hideMark/>
          </w:tcPr>
          <w:p w14:paraId="345466F3"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$36,730</w:t>
            </w:r>
          </w:p>
        </w:tc>
        <w:tc>
          <w:tcPr>
            <w:tcW w:w="1300" w:type="dxa"/>
            <w:tcBorders>
              <w:top w:val="nil"/>
              <w:left w:val="nil"/>
              <w:bottom w:val="nil"/>
              <w:right w:val="single" w:sz="4" w:space="0" w:color="auto"/>
            </w:tcBorders>
            <w:shd w:val="clear" w:color="auto" w:fill="auto"/>
            <w:noWrap/>
            <w:vAlign w:val="bottom"/>
            <w:hideMark/>
          </w:tcPr>
          <w:p w14:paraId="24FE5950"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$51,809</w:t>
            </w:r>
          </w:p>
        </w:tc>
        <w:tc>
          <w:tcPr>
            <w:tcW w:w="1300" w:type="dxa"/>
            <w:tcBorders>
              <w:top w:val="nil"/>
              <w:left w:val="nil"/>
              <w:bottom w:val="nil"/>
              <w:right w:val="single" w:sz="4" w:space="0" w:color="auto"/>
            </w:tcBorders>
            <w:shd w:val="clear" w:color="auto" w:fill="auto"/>
            <w:noWrap/>
            <w:vAlign w:val="bottom"/>
            <w:hideMark/>
          </w:tcPr>
          <w:p w14:paraId="4CB50E28" w14:textId="77777777" w:rsidR="00B8789F" w:rsidRPr="00B8789F" w:rsidRDefault="00B8789F" w:rsidP="00B8789F">
            <w:pPr>
              <w:jc w:val="center"/>
              <w:rPr>
                <w:rFonts w:ascii="Calibri" w:hAnsi="Calibri"/>
                <w:color w:val="000000"/>
                <w:sz w:val="20"/>
                <w:szCs w:val="20"/>
              </w:rPr>
            </w:pPr>
            <w:r w:rsidRPr="00B8789F">
              <w:rPr>
                <w:rFonts w:ascii="Calibri" w:hAnsi="Calibri"/>
                <w:color w:val="000000"/>
                <w:sz w:val="20"/>
                <w:szCs w:val="20"/>
              </w:rPr>
              <w:t>$31,071</w:t>
            </w:r>
          </w:p>
        </w:tc>
      </w:tr>
    </w:tbl>
    <w:p w14:paraId="59104713" w14:textId="204328CD" w:rsidR="00B8789F" w:rsidRDefault="00B8789F" w:rsidP="00B8789F"/>
    <w:p w14:paraId="14471EA3" w14:textId="250F5DDA" w:rsidR="00B8789F" w:rsidRDefault="00B8789F" w:rsidP="00602D22">
      <w:pPr>
        <w:jc w:val="center"/>
      </w:pPr>
      <w:r>
        <w:rPr>
          <w:noProof/>
        </w:rPr>
        <w:drawing>
          <wp:inline distT="0" distB="0" distL="0" distR="0" wp14:anchorId="599039A7" wp14:editId="27B9B8C9">
            <wp:extent cx="5486400" cy="3264535"/>
            <wp:effectExtent l="0" t="0" r="25400" b="374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6F09B1" w14:textId="77777777" w:rsidR="00B8789F" w:rsidRDefault="00B8789F" w:rsidP="00B8789F"/>
    <w:p w14:paraId="07CB5C75" w14:textId="4B146771" w:rsidR="00011695" w:rsidRDefault="008A7F11" w:rsidP="00E708DE">
      <w:pPr>
        <w:spacing w:after="120"/>
      </w:pPr>
      <w:r>
        <w:tab/>
      </w:r>
      <w:r w:rsidR="00232618" w:rsidRPr="00232618">
        <w:t xml:space="preserve">The Maine DOT Local Roads Center provides a “Road Surface Management for Maine Towns” training program, including Road and Sign Management Software (RSMS www.rsms.info). </w:t>
      </w:r>
      <w:r w:rsidR="00232618">
        <w:t xml:space="preserve"> </w:t>
      </w:r>
      <w:r w:rsidR="00232618" w:rsidRPr="00232618">
        <w:t xml:space="preserve">RSMS 10 </w:t>
      </w:r>
      <w:r w:rsidR="00232618">
        <w:t>came online around</w:t>
      </w:r>
      <w:r w:rsidR="00232618" w:rsidRPr="00232618">
        <w:t xml:space="preserve"> 2010 as a replacement for the Road Surface Maintenance Software program developed in the 1990s.  The software now includes RSM 16, a geographic information system </w:t>
      </w:r>
      <w:r w:rsidR="00232618">
        <w:t>combining</w:t>
      </w:r>
      <w:r w:rsidR="00232618" w:rsidRPr="00232618">
        <w:t xml:space="preserve"> data management and mapping. </w:t>
      </w:r>
      <w:r w:rsidR="00232618">
        <w:t xml:space="preserve"> </w:t>
      </w:r>
      <w:r w:rsidR="00232618" w:rsidRPr="00232618">
        <w:t xml:space="preserve">The Town of Clifton </w:t>
      </w:r>
      <w:r w:rsidR="00232618">
        <w:t xml:space="preserve">should </w:t>
      </w:r>
      <w:r w:rsidR="005152A8">
        <w:t>evaluate the cost and comp</w:t>
      </w:r>
      <w:r w:rsidR="00B569C3">
        <w:t>lexity of</w:t>
      </w:r>
      <w:r w:rsidR="00232618" w:rsidRPr="00232618">
        <w:t xml:space="preserve"> this system </w:t>
      </w:r>
      <w:r w:rsidR="00B569C3">
        <w:t>to determine if it would help</w:t>
      </w:r>
      <w:r w:rsidR="00232618" w:rsidRPr="00232618">
        <w:t xml:space="preserve"> prioritize and plan for i</w:t>
      </w:r>
      <w:r w:rsidR="00232618">
        <w:t>mprovements and repairs to the town</w:t>
      </w:r>
      <w:r w:rsidR="00232618" w:rsidRPr="00232618">
        <w:t xml:space="preserve"> roads.</w:t>
      </w:r>
      <w:r w:rsidR="00011695">
        <w:tab/>
      </w:r>
    </w:p>
    <w:p w14:paraId="730FE5A9" w14:textId="6C89CAE9" w:rsidR="00A33D9E" w:rsidRPr="0038110A" w:rsidRDefault="003870A7" w:rsidP="00E708DE">
      <w:pPr>
        <w:spacing w:after="120"/>
        <w:rPr>
          <w:b/>
          <w:u w:val="single"/>
        </w:rPr>
      </w:pPr>
      <w:r w:rsidRPr="0038110A">
        <w:rPr>
          <w:b/>
          <w:u w:val="single"/>
        </w:rPr>
        <w:t>TRAFFIC COUNTS</w:t>
      </w:r>
    </w:p>
    <w:p w14:paraId="7D3A2B0D" w14:textId="4FFD2F70" w:rsidR="003870A7" w:rsidRPr="003870A7" w:rsidRDefault="003870A7" w:rsidP="00E708DE">
      <w:pPr>
        <w:spacing w:after="120"/>
      </w:pPr>
      <w:r>
        <w:tab/>
        <w:t xml:space="preserve">Based on the 20 years of available data, the traffic coming through town on Route 9 changed little with a 13% increase from 1996 through 2015.  </w:t>
      </w:r>
      <w:r w:rsidR="00FE6A87">
        <w:t xml:space="preserve">Route 9 traffic decreases from the Eddington town line to the Amherst town line by roughly 2000 (1000 each direction) vehicles in Clifton on an average day with the number turning off or on Route 180 being about 1000 (500 each direction) over the entire period shown.  </w:t>
      </w:r>
      <w:r w:rsidR="00C33B0B">
        <w:t xml:space="preserve">There are 300 trips fewer at the Otis town line than there are at the intersection of Routes 9 and 180 meaning local trips average 150 round trips per day by local traffic on Route 180.  This would also imply, few residents who live </w:t>
      </w:r>
      <w:r w:rsidR="00202D2B">
        <w:t xml:space="preserve">near Route 180 work or drive towards Ellsworth.  </w:t>
      </w:r>
    </w:p>
    <w:p w14:paraId="3C640050" w14:textId="0EC71DB5" w:rsidR="005F0180" w:rsidRDefault="00A91757" w:rsidP="00E708DE">
      <w:pPr>
        <w:spacing w:after="120"/>
      </w:pPr>
      <w:r>
        <w:rPr>
          <w:noProof/>
        </w:rPr>
        <w:drawing>
          <wp:inline distT="0" distB="0" distL="0" distR="0" wp14:anchorId="03A78A1F" wp14:editId="4C4A798F">
            <wp:extent cx="5943600" cy="2691442"/>
            <wp:effectExtent l="0" t="0" r="25400"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338CD6" w14:textId="16D931E3" w:rsidR="00E204C7" w:rsidRDefault="00E204C7" w:rsidP="00E204C7">
      <w:pPr>
        <w:spacing w:after="120"/>
      </w:pPr>
    </w:p>
    <w:tbl>
      <w:tblPr>
        <w:tblW w:w="10368" w:type="dxa"/>
        <w:tblInd w:w="-704" w:type="dxa"/>
        <w:tblLook w:val="04A0" w:firstRow="1" w:lastRow="0" w:firstColumn="1" w:lastColumn="0" w:noHBand="0" w:noVBand="1"/>
        <w:tblPrChange w:id="1" w:author="David Johns" w:date="2019-09-12T15:37:00Z">
          <w:tblPr>
            <w:tblW w:w="11520" w:type="dxa"/>
            <w:tblInd w:w="-1379" w:type="dxa"/>
            <w:tblLook w:val="04A0" w:firstRow="1" w:lastRow="0" w:firstColumn="1" w:lastColumn="0" w:noHBand="0" w:noVBand="1"/>
          </w:tblPr>
        </w:tblPrChange>
      </w:tblPr>
      <w:tblGrid>
        <w:gridCol w:w="1736"/>
        <w:gridCol w:w="2692"/>
        <w:gridCol w:w="1057"/>
        <w:gridCol w:w="1057"/>
        <w:gridCol w:w="1057"/>
        <w:gridCol w:w="1057"/>
        <w:gridCol w:w="1057"/>
        <w:gridCol w:w="1087"/>
        <w:tblGridChange w:id="2">
          <w:tblGrid>
            <w:gridCol w:w="675"/>
            <w:gridCol w:w="1175"/>
            <w:gridCol w:w="561"/>
            <w:gridCol w:w="2310"/>
            <w:gridCol w:w="382"/>
            <w:gridCol w:w="746"/>
            <w:gridCol w:w="311"/>
            <w:gridCol w:w="817"/>
            <w:gridCol w:w="240"/>
            <w:gridCol w:w="888"/>
            <w:gridCol w:w="169"/>
            <w:gridCol w:w="959"/>
            <w:gridCol w:w="98"/>
            <w:gridCol w:w="1030"/>
            <w:gridCol w:w="27"/>
            <w:gridCol w:w="1087"/>
            <w:gridCol w:w="45"/>
          </w:tblGrid>
        </w:tblGridChange>
      </w:tblGrid>
      <w:tr w:rsidR="006F00BE" w:rsidRPr="00173EB6" w14:paraId="3939236E" w14:textId="77777777" w:rsidTr="006F00BE">
        <w:trPr>
          <w:trHeight w:val="320"/>
          <w:trPrChange w:id="3" w:author="David Johns" w:date="2019-09-12T15:37:00Z">
            <w:trPr>
              <w:trHeight w:val="320"/>
            </w:trPr>
          </w:trPrChange>
        </w:trPr>
        <w:tc>
          <w:tcPr>
            <w:tcW w:w="1736" w:type="dxa"/>
            <w:tcBorders>
              <w:top w:val="nil"/>
              <w:left w:val="nil"/>
              <w:bottom w:val="single" w:sz="8" w:space="0" w:color="auto"/>
              <w:right w:val="single" w:sz="4" w:space="0" w:color="auto"/>
            </w:tcBorders>
            <w:shd w:val="clear" w:color="000000" w:fill="CCFFCC"/>
            <w:noWrap/>
            <w:vAlign w:val="bottom"/>
            <w:hideMark/>
            <w:tcPrChange w:id="4" w:author="David Johns" w:date="2019-09-12T15:37:00Z">
              <w:tcPr>
                <w:tcW w:w="1300" w:type="dxa"/>
                <w:gridSpan w:val="2"/>
                <w:tcBorders>
                  <w:top w:val="nil"/>
                  <w:left w:val="nil"/>
                  <w:bottom w:val="single" w:sz="8" w:space="0" w:color="auto"/>
                  <w:right w:val="single" w:sz="4" w:space="0" w:color="auto"/>
                </w:tcBorders>
                <w:shd w:val="clear" w:color="000000" w:fill="CCFFCC"/>
                <w:noWrap/>
                <w:vAlign w:val="bottom"/>
                <w:hideMark/>
              </w:tcPr>
            </w:tcPrChange>
          </w:tcPr>
          <w:p w14:paraId="0BF67768" w14:textId="77777777" w:rsidR="00173EB6" w:rsidRPr="00173EB6" w:rsidRDefault="00173EB6" w:rsidP="00173EB6">
            <w:pPr>
              <w:jc w:val="center"/>
              <w:rPr>
                <w:rFonts w:ascii="Calibri" w:hAnsi="Calibri"/>
                <w:b/>
                <w:bCs/>
                <w:color w:val="000000"/>
              </w:rPr>
            </w:pPr>
            <w:r w:rsidRPr="00173EB6">
              <w:rPr>
                <w:rFonts w:ascii="Calibri" w:hAnsi="Calibri"/>
                <w:b/>
                <w:bCs/>
                <w:color w:val="000000"/>
              </w:rPr>
              <w:t>Station</w:t>
            </w:r>
          </w:p>
        </w:tc>
        <w:tc>
          <w:tcPr>
            <w:tcW w:w="2692" w:type="dxa"/>
            <w:tcBorders>
              <w:top w:val="nil"/>
              <w:left w:val="nil"/>
              <w:bottom w:val="single" w:sz="8" w:space="0" w:color="auto"/>
              <w:right w:val="single" w:sz="4" w:space="0" w:color="auto"/>
            </w:tcBorders>
            <w:shd w:val="clear" w:color="000000" w:fill="CCFFCC"/>
            <w:noWrap/>
            <w:vAlign w:val="bottom"/>
            <w:hideMark/>
            <w:tcPrChange w:id="5" w:author="David Johns" w:date="2019-09-12T15:37:00Z">
              <w:tcPr>
                <w:tcW w:w="2016" w:type="dxa"/>
                <w:gridSpan w:val="2"/>
                <w:tcBorders>
                  <w:top w:val="nil"/>
                  <w:left w:val="nil"/>
                  <w:bottom w:val="single" w:sz="8" w:space="0" w:color="auto"/>
                  <w:right w:val="single" w:sz="4" w:space="0" w:color="auto"/>
                </w:tcBorders>
                <w:shd w:val="clear" w:color="000000" w:fill="CCFFCC"/>
                <w:noWrap/>
                <w:vAlign w:val="bottom"/>
                <w:hideMark/>
              </w:tcPr>
            </w:tcPrChange>
          </w:tcPr>
          <w:p w14:paraId="094F85C2" w14:textId="77777777" w:rsidR="00173EB6" w:rsidRPr="00173EB6" w:rsidRDefault="00173EB6" w:rsidP="00173EB6">
            <w:pPr>
              <w:jc w:val="center"/>
              <w:rPr>
                <w:rFonts w:ascii="Calibri" w:hAnsi="Calibri"/>
                <w:b/>
                <w:bCs/>
                <w:color w:val="000000"/>
              </w:rPr>
            </w:pPr>
            <w:r w:rsidRPr="00173EB6">
              <w:rPr>
                <w:rFonts w:ascii="Calibri" w:hAnsi="Calibri"/>
                <w:b/>
                <w:bCs/>
                <w:color w:val="000000"/>
              </w:rPr>
              <w:t>Description</w:t>
            </w:r>
          </w:p>
        </w:tc>
        <w:tc>
          <w:tcPr>
            <w:tcW w:w="1057" w:type="dxa"/>
            <w:tcBorders>
              <w:top w:val="nil"/>
              <w:left w:val="nil"/>
              <w:bottom w:val="single" w:sz="8" w:space="0" w:color="auto"/>
              <w:right w:val="single" w:sz="4" w:space="0" w:color="auto"/>
            </w:tcBorders>
            <w:shd w:val="clear" w:color="000000" w:fill="CCFFCC"/>
            <w:noWrap/>
            <w:vAlign w:val="bottom"/>
            <w:hideMark/>
            <w:tcPrChange w:id="6" w:author="David Johns" w:date="2019-09-12T15:37:00Z">
              <w:tcPr>
                <w:tcW w:w="792" w:type="dxa"/>
                <w:gridSpan w:val="2"/>
                <w:tcBorders>
                  <w:top w:val="nil"/>
                  <w:left w:val="nil"/>
                  <w:bottom w:val="single" w:sz="8" w:space="0" w:color="auto"/>
                  <w:right w:val="single" w:sz="4" w:space="0" w:color="auto"/>
                </w:tcBorders>
                <w:shd w:val="clear" w:color="000000" w:fill="CCFFCC"/>
                <w:noWrap/>
                <w:vAlign w:val="bottom"/>
                <w:hideMark/>
              </w:tcPr>
            </w:tcPrChange>
          </w:tcPr>
          <w:p w14:paraId="4ACB2710" w14:textId="77777777" w:rsidR="00173EB6" w:rsidRPr="00173EB6" w:rsidRDefault="00173EB6" w:rsidP="00173EB6">
            <w:pPr>
              <w:jc w:val="center"/>
              <w:rPr>
                <w:rFonts w:ascii="Calibri" w:hAnsi="Calibri"/>
                <w:b/>
                <w:bCs/>
                <w:color w:val="000000"/>
              </w:rPr>
            </w:pPr>
            <w:r w:rsidRPr="00173EB6">
              <w:rPr>
                <w:rFonts w:ascii="Calibri" w:hAnsi="Calibri"/>
                <w:b/>
                <w:bCs/>
                <w:color w:val="000000"/>
              </w:rPr>
              <w:t>1996</w:t>
            </w:r>
          </w:p>
        </w:tc>
        <w:tc>
          <w:tcPr>
            <w:tcW w:w="1057" w:type="dxa"/>
            <w:tcBorders>
              <w:top w:val="nil"/>
              <w:left w:val="nil"/>
              <w:bottom w:val="single" w:sz="8" w:space="0" w:color="auto"/>
              <w:right w:val="single" w:sz="4" w:space="0" w:color="auto"/>
            </w:tcBorders>
            <w:shd w:val="clear" w:color="000000" w:fill="CCFFCC"/>
            <w:noWrap/>
            <w:vAlign w:val="bottom"/>
            <w:hideMark/>
            <w:tcPrChange w:id="7" w:author="David Johns" w:date="2019-09-12T15:37:00Z">
              <w:tcPr>
                <w:tcW w:w="792" w:type="dxa"/>
                <w:gridSpan w:val="2"/>
                <w:tcBorders>
                  <w:top w:val="nil"/>
                  <w:left w:val="nil"/>
                  <w:bottom w:val="single" w:sz="8" w:space="0" w:color="auto"/>
                  <w:right w:val="single" w:sz="4" w:space="0" w:color="auto"/>
                </w:tcBorders>
                <w:shd w:val="clear" w:color="000000" w:fill="CCFFCC"/>
                <w:noWrap/>
                <w:vAlign w:val="bottom"/>
                <w:hideMark/>
              </w:tcPr>
            </w:tcPrChange>
          </w:tcPr>
          <w:p w14:paraId="6EA66481" w14:textId="77777777" w:rsidR="00173EB6" w:rsidRPr="00173EB6" w:rsidRDefault="00173EB6" w:rsidP="00173EB6">
            <w:pPr>
              <w:jc w:val="center"/>
              <w:rPr>
                <w:rFonts w:ascii="Calibri" w:hAnsi="Calibri"/>
                <w:b/>
                <w:bCs/>
                <w:color w:val="000000"/>
              </w:rPr>
            </w:pPr>
            <w:r w:rsidRPr="00173EB6">
              <w:rPr>
                <w:rFonts w:ascii="Calibri" w:hAnsi="Calibri"/>
                <w:b/>
                <w:bCs/>
                <w:color w:val="000000"/>
              </w:rPr>
              <w:t>1998</w:t>
            </w:r>
          </w:p>
        </w:tc>
        <w:tc>
          <w:tcPr>
            <w:tcW w:w="1057" w:type="dxa"/>
            <w:tcBorders>
              <w:top w:val="nil"/>
              <w:left w:val="nil"/>
              <w:bottom w:val="single" w:sz="8" w:space="0" w:color="auto"/>
              <w:right w:val="single" w:sz="4" w:space="0" w:color="auto"/>
            </w:tcBorders>
            <w:shd w:val="clear" w:color="000000" w:fill="CCFFCC"/>
            <w:noWrap/>
            <w:vAlign w:val="bottom"/>
            <w:hideMark/>
            <w:tcPrChange w:id="8" w:author="David Johns" w:date="2019-09-12T15:37:00Z">
              <w:tcPr>
                <w:tcW w:w="792" w:type="dxa"/>
                <w:gridSpan w:val="2"/>
                <w:tcBorders>
                  <w:top w:val="nil"/>
                  <w:left w:val="nil"/>
                  <w:bottom w:val="single" w:sz="8" w:space="0" w:color="auto"/>
                  <w:right w:val="single" w:sz="4" w:space="0" w:color="auto"/>
                </w:tcBorders>
                <w:shd w:val="clear" w:color="000000" w:fill="CCFFCC"/>
                <w:noWrap/>
                <w:vAlign w:val="bottom"/>
                <w:hideMark/>
              </w:tcPr>
            </w:tcPrChange>
          </w:tcPr>
          <w:p w14:paraId="006AA4F3" w14:textId="77777777" w:rsidR="00173EB6" w:rsidRPr="00173EB6" w:rsidRDefault="00173EB6" w:rsidP="00173EB6">
            <w:pPr>
              <w:jc w:val="center"/>
              <w:rPr>
                <w:rFonts w:ascii="Calibri" w:hAnsi="Calibri"/>
                <w:b/>
                <w:bCs/>
                <w:color w:val="000000"/>
              </w:rPr>
            </w:pPr>
            <w:r w:rsidRPr="00173EB6">
              <w:rPr>
                <w:rFonts w:ascii="Calibri" w:hAnsi="Calibri"/>
                <w:b/>
                <w:bCs/>
                <w:color w:val="000000"/>
              </w:rPr>
              <w:t>2001</w:t>
            </w:r>
          </w:p>
        </w:tc>
        <w:tc>
          <w:tcPr>
            <w:tcW w:w="1057" w:type="dxa"/>
            <w:tcBorders>
              <w:top w:val="nil"/>
              <w:left w:val="nil"/>
              <w:bottom w:val="single" w:sz="8" w:space="0" w:color="auto"/>
              <w:right w:val="single" w:sz="4" w:space="0" w:color="auto"/>
            </w:tcBorders>
            <w:shd w:val="clear" w:color="000000" w:fill="CCFFCC"/>
            <w:noWrap/>
            <w:vAlign w:val="bottom"/>
            <w:hideMark/>
            <w:tcPrChange w:id="9" w:author="David Johns" w:date="2019-09-12T15:37:00Z">
              <w:tcPr>
                <w:tcW w:w="792" w:type="dxa"/>
                <w:gridSpan w:val="2"/>
                <w:tcBorders>
                  <w:top w:val="nil"/>
                  <w:left w:val="nil"/>
                  <w:bottom w:val="single" w:sz="8" w:space="0" w:color="auto"/>
                  <w:right w:val="single" w:sz="4" w:space="0" w:color="auto"/>
                </w:tcBorders>
                <w:shd w:val="clear" w:color="000000" w:fill="CCFFCC"/>
                <w:noWrap/>
                <w:vAlign w:val="bottom"/>
                <w:hideMark/>
              </w:tcPr>
            </w:tcPrChange>
          </w:tcPr>
          <w:p w14:paraId="1646A9F7" w14:textId="77777777" w:rsidR="00173EB6" w:rsidRPr="00173EB6" w:rsidRDefault="00173EB6" w:rsidP="00173EB6">
            <w:pPr>
              <w:jc w:val="center"/>
              <w:rPr>
                <w:rFonts w:ascii="Calibri" w:hAnsi="Calibri"/>
                <w:b/>
                <w:bCs/>
                <w:color w:val="000000"/>
              </w:rPr>
            </w:pPr>
            <w:r w:rsidRPr="00173EB6">
              <w:rPr>
                <w:rFonts w:ascii="Calibri" w:hAnsi="Calibri"/>
                <w:b/>
                <w:bCs/>
                <w:color w:val="000000"/>
              </w:rPr>
              <w:t>2012</w:t>
            </w:r>
          </w:p>
        </w:tc>
        <w:tc>
          <w:tcPr>
            <w:tcW w:w="1057" w:type="dxa"/>
            <w:tcBorders>
              <w:top w:val="nil"/>
              <w:left w:val="nil"/>
              <w:bottom w:val="single" w:sz="8" w:space="0" w:color="auto"/>
              <w:right w:val="single" w:sz="4" w:space="0" w:color="auto"/>
            </w:tcBorders>
            <w:shd w:val="clear" w:color="000000" w:fill="CCFFCC"/>
            <w:noWrap/>
            <w:vAlign w:val="bottom"/>
            <w:hideMark/>
            <w:tcPrChange w:id="10" w:author="David Johns" w:date="2019-09-12T15:37:00Z">
              <w:tcPr>
                <w:tcW w:w="792" w:type="dxa"/>
                <w:gridSpan w:val="2"/>
                <w:tcBorders>
                  <w:top w:val="nil"/>
                  <w:left w:val="nil"/>
                  <w:bottom w:val="single" w:sz="8" w:space="0" w:color="auto"/>
                  <w:right w:val="single" w:sz="4" w:space="0" w:color="auto"/>
                </w:tcBorders>
                <w:shd w:val="clear" w:color="000000" w:fill="CCFFCC"/>
                <w:noWrap/>
                <w:vAlign w:val="bottom"/>
                <w:hideMark/>
              </w:tcPr>
            </w:tcPrChange>
          </w:tcPr>
          <w:p w14:paraId="2FF3183D" w14:textId="77777777" w:rsidR="00173EB6" w:rsidRPr="00173EB6" w:rsidRDefault="00173EB6" w:rsidP="00173EB6">
            <w:pPr>
              <w:jc w:val="center"/>
              <w:rPr>
                <w:rFonts w:ascii="Calibri" w:hAnsi="Calibri"/>
                <w:b/>
                <w:bCs/>
                <w:color w:val="000000"/>
              </w:rPr>
            </w:pPr>
            <w:r w:rsidRPr="00173EB6">
              <w:rPr>
                <w:rFonts w:ascii="Calibri" w:hAnsi="Calibri"/>
                <w:b/>
                <w:bCs/>
                <w:color w:val="000000"/>
              </w:rPr>
              <w:t>2015</w:t>
            </w:r>
          </w:p>
        </w:tc>
        <w:tc>
          <w:tcPr>
            <w:tcW w:w="1087" w:type="dxa"/>
            <w:tcBorders>
              <w:top w:val="nil"/>
              <w:left w:val="nil"/>
              <w:bottom w:val="single" w:sz="8" w:space="0" w:color="auto"/>
              <w:right w:val="nil"/>
            </w:tcBorders>
            <w:shd w:val="clear" w:color="000000" w:fill="CCFFCC"/>
            <w:noWrap/>
            <w:vAlign w:val="bottom"/>
            <w:hideMark/>
            <w:tcPrChange w:id="11" w:author="David Johns" w:date="2019-09-12T15:37:00Z">
              <w:tcPr>
                <w:tcW w:w="792" w:type="dxa"/>
                <w:gridSpan w:val="3"/>
                <w:tcBorders>
                  <w:top w:val="nil"/>
                  <w:left w:val="nil"/>
                  <w:bottom w:val="single" w:sz="8" w:space="0" w:color="auto"/>
                  <w:right w:val="nil"/>
                </w:tcBorders>
                <w:shd w:val="clear" w:color="000000" w:fill="CCFFCC"/>
                <w:noWrap/>
                <w:vAlign w:val="bottom"/>
                <w:hideMark/>
              </w:tcPr>
            </w:tcPrChange>
          </w:tcPr>
          <w:p w14:paraId="1BF5A149" w14:textId="77777777" w:rsidR="00173EB6" w:rsidRPr="00173EB6" w:rsidRDefault="00173EB6" w:rsidP="00173EB6">
            <w:pPr>
              <w:jc w:val="center"/>
              <w:rPr>
                <w:rFonts w:ascii="Calibri" w:hAnsi="Calibri"/>
                <w:b/>
                <w:bCs/>
                <w:color w:val="000000"/>
              </w:rPr>
            </w:pPr>
            <w:r w:rsidRPr="00173EB6">
              <w:rPr>
                <w:rFonts w:ascii="Calibri" w:hAnsi="Calibri"/>
                <w:b/>
                <w:bCs/>
                <w:color w:val="000000"/>
              </w:rPr>
              <w:t>Delta %</w:t>
            </w:r>
          </w:p>
        </w:tc>
      </w:tr>
      <w:tr w:rsidR="006F00BE" w:rsidRPr="00173EB6" w14:paraId="2EBF251A" w14:textId="77777777" w:rsidTr="006F00BE">
        <w:tblPrEx>
          <w:tblPrExChange w:id="12" w:author="David Johns" w:date="2019-09-12T15:37:00Z">
            <w:tblPrEx>
              <w:tblW w:w="10800" w:type="dxa"/>
              <w:tblInd w:w="-704" w:type="dxa"/>
            </w:tblPrEx>
          </w:tblPrExChange>
        </w:tblPrEx>
        <w:trPr>
          <w:trHeight w:val="300"/>
          <w:trPrChange w:id="13" w:author="David Johns" w:date="2019-09-12T15:37:00Z">
            <w:trPr>
              <w:gridBefore w:val="1"/>
              <w:gridAfter w:val="0"/>
              <w:trHeight w:val="300"/>
            </w:trPr>
          </w:trPrChange>
        </w:trPr>
        <w:tc>
          <w:tcPr>
            <w:tcW w:w="1736" w:type="dxa"/>
            <w:tcBorders>
              <w:top w:val="nil"/>
              <w:left w:val="nil"/>
              <w:bottom w:val="nil"/>
              <w:right w:val="single" w:sz="4" w:space="0" w:color="auto"/>
            </w:tcBorders>
            <w:shd w:val="clear" w:color="auto" w:fill="auto"/>
            <w:noWrap/>
            <w:vAlign w:val="bottom"/>
            <w:hideMark/>
            <w:tcPrChange w:id="14" w:author="David Johns" w:date="2019-09-12T15:37:00Z">
              <w:tcPr>
                <w:tcW w:w="1736" w:type="dxa"/>
                <w:gridSpan w:val="2"/>
                <w:tcBorders>
                  <w:top w:val="nil"/>
                  <w:left w:val="nil"/>
                  <w:bottom w:val="nil"/>
                  <w:right w:val="single" w:sz="4" w:space="0" w:color="auto"/>
                </w:tcBorders>
                <w:shd w:val="clear" w:color="auto" w:fill="auto"/>
                <w:noWrap/>
                <w:vAlign w:val="bottom"/>
                <w:hideMark/>
              </w:tcPr>
            </w:tcPrChange>
          </w:tcPr>
          <w:p w14:paraId="6011141B" w14:textId="77777777" w:rsidR="00173EB6" w:rsidRPr="00173EB6" w:rsidRDefault="00173EB6" w:rsidP="00173EB6">
            <w:pPr>
              <w:jc w:val="right"/>
              <w:rPr>
                <w:rFonts w:ascii="Calibri" w:hAnsi="Calibri"/>
                <w:color w:val="000000"/>
              </w:rPr>
            </w:pPr>
            <w:r w:rsidRPr="00173EB6">
              <w:rPr>
                <w:rFonts w:ascii="Calibri" w:hAnsi="Calibri"/>
                <w:color w:val="000000"/>
              </w:rPr>
              <w:t>49506</w:t>
            </w:r>
          </w:p>
        </w:tc>
        <w:tc>
          <w:tcPr>
            <w:tcW w:w="2692" w:type="dxa"/>
            <w:tcBorders>
              <w:top w:val="nil"/>
              <w:left w:val="nil"/>
              <w:bottom w:val="nil"/>
              <w:right w:val="single" w:sz="4" w:space="0" w:color="auto"/>
            </w:tcBorders>
            <w:shd w:val="clear" w:color="auto" w:fill="auto"/>
            <w:noWrap/>
            <w:vAlign w:val="bottom"/>
            <w:hideMark/>
            <w:tcPrChange w:id="15" w:author="David Johns" w:date="2019-09-12T15:37:00Z">
              <w:tcPr>
                <w:tcW w:w="2692" w:type="dxa"/>
                <w:gridSpan w:val="2"/>
                <w:tcBorders>
                  <w:top w:val="nil"/>
                  <w:left w:val="nil"/>
                  <w:bottom w:val="nil"/>
                  <w:right w:val="single" w:sz="4" w:space="0" w:color="auto"/>
                </w:tcBorders>
                <w:shd w:val="clear" w:color="auto" w:fill="auto"/>
                <w:noWrap/>
                <w:vAlign w:val="bottom"/>
                <w:hideMark/>
              </w:tcPr>
            </w:tcPrChange>
          </w:tcPr>
          <w:p w14:paraId="0A3D2994" w14:textId="77777777" w:rsidR="00173EB6" w:rsidRPr="00173EB6" w:rsidRDefault="00173EB6" w:rsidP="00173EB6">
            <w:pPr>
              <w:rPr>
                <w:rFonts w:ascii="Calibri" w:hAnsi="Calibri"/>
                <w:color w:val="000000"/>
              </w:rPr>
            </w:pPr>
            <w:r w:rsidRPr="00173EB6">
              <w:rPr>
                <w:rFonts w:ascii="Calibri" w:hAnsi="Calibri"/>
                <w:color w:val="000000"/>
              </w:rPr>
              <w:t>Rte 9 Prior to Rte 180</w:t>
            </w:r>
          </w:p>
        </w:tc>
        <w:tc>
          <w:tcPr>
            <w:tcW w:w="1057" w:type="dxa"/>
            <w:tcBorders>
              <w:top w:val="nil"/>
              <w:left w:val="nil"/>
              <w:bottom w:val="nil"/>
              <w:right w:val="single" w:sz="4" w:space="0" w:color="auto"/>
            </w:tcBorders>
            <w:shd w:val="clear" w:color="auto" w:fill="auto"/>
            <w:noWrap/>
            <w:vAlign w:val="bottom"/>
            <w:hideMark/>
            <w:tcPrChange w:id="16"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6770B71B" w14:textId="77777777" w:rsidR="00173EB6" w:rsidRPr="00173EB6" w:rsidRDefault="00173EB6" w:rsidP="00173EB6">
            <w:pPr>
              <w:jc w:val="right"/>
              <w:rPr>
                <w:rFonts w:ascii="Calibri" w:hAnsi="Calibri"/>
                <w:color w:val="000000"/>
              </w:rPr>
            </w:pPr>
            <w:r w:rsidRPr="00173EB6">
              <w:rPr>
                <w:rFonts w:ascii="Calibri" w:hAnsi="Calibri"/>
                <w:color w:val="000000"/>
              </w:rPr>
              <w:t>4,760</w:t>
            </w:r>
          </w:p>
        </w:tc>
        <w:tc>
          <w:tcPr>
            <w:tcW w:w="1057" w:type="dxa"/>
            <w:tcBorders>
              <w:top w:val="nil"/>
              <w:left w:val="nil"/>
              <w:bottom w:val="nil"/>
              <w:right w:val="single" w:sz="4" w:space="0" w:color="auto"/>
            </w:tcBorders>
            <w:shd w:val="clear" w:color="auto" w:fill="auto"/>
            <w:noWrap/>
            <w:vAlign w:val="bottom"/>
            <w:hideMark/>
            <w:tcPrChange w:id="17"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6A2D6451" w14:textId="77777777" w:rsidR="00173EB6" w:rsidRPr="00173EB6" w:rsidRDefault="00173EB6" w:rsidP="00173EB6">
            <w:pPr>
              <w:jc w:val="right"/>
              <w:rPr>
                <w:rFonts w:ascii="Calibri" w:hAnsi="Calibri"/>
                <w:color w:val="000000"/>
              </w:rPr>
            </w:pPr>
            <w:r w:rsidRPr="00173EB6">
              <w:rPr>
                <w:rFonts w:ascii="Calibri" w:hAnsi="Calibri"/>
                <w:color w:val="000000"/>
              </w:rPr>
              <w:t>5,090</w:t>
            </w:r>
          </w:p>
        </w:tc>
        <w:tc>
          <w:tcPr>
            <w:tcW w:w="1057" w:type="dxa"/>
            <w:tcBorders>
              <w:top w:val="nil"/>
              <w:left w:val="nil"/>
              <w:bottom w:val="nil"/>
              <w:right w:val="single" w:sz="4" w:space="0" w:color="auto"/>
            </w:tcBorders>
            <w:shd w:val="clear" w:color="auto" w:fill="auto"/>
            <w:noWrap/>
            <w:vAlign w:val="bottom"/>
            <w:hideMark/>
            <w:tcPrChange w:id="18"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6A6E6BA3" w14:textId="77777777" w:rsidR="00173EB6" w:rsidRPr="00173EB6" w:rsidRDefault="00173EB6" w:rsidP="00173EB6">
            <w:pPr>
              <w:jc w:val="right"/>
              <w:rPr>
                <w:rFonts w:ascii="Calibri" w:hAnsi="Calibri"/>
                <w:color w:val="000000"/>
              </w:rPr>
            </w:pPr>
            <w:r w:rsidRPr="00173EB6">
              <w:rPr>
                <w:rFonts w:ascii="Calibri" w:hAnsi="Calibri"/>
                <w:color w:val="000000"/>
              </w:rPr>
              <w:t>5,290</w:t>
            </w:r>
          </w:p>
        </w:tc>
        <w:tc>
          <w:tcPr>
            <w:tcW w:w="1057" w:type="dxa"/>
            <w:tcBorders>
              <w:top w:val="nil"/>
              <w:left w:val="nil"/>
              <w:bottom w:val="nil"/>
              <w:right w:val="single" w:sz="4" w:space="0" w:color="auto"/>
            </w:tcBorders>
            <w:shd w:val="clear" w:color="auto" w:fill="auto"/>
            <w:noWrap/>
            <w:vAlign w:val="bottom"/>
            <w:hideMark/>
            <w:tcPrChange w:id="19"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292441DB" w14:textId="77777777" w:rsidR="00173EB6" w:rsidRPr="00173EB6" w:rsidRDefault="00173EB6" w:rsidP="00173EB6">
            <w:pPr>
              <w:jc w:val="right"/>
              <w:rPr>
                <w:rFonts w:ascii="Calibri" w:hAnsi="Calibri"/>
                <w:color w:val="000000"/>
              </w:rPr>
            </w:pPr>
            <w:r w:rsidRPr="00173EB6">
              <w:rPr>
                <w:rFonts w:ascii="Calibri" w:hAnsi="Calibri"/>
                <w:color w:val="000000"/>
              </w:rPr>
              <w:t>5,420</w:t>
            </w:r>
          </w:p>
        </w:tc>
        <w:tc>
          <w:tcPr>
            <w:tcW w:w="1057" w:type="dxa"/>
            <w:tcBorders>
              <w:top w:val="nil"/>
              <w:left w:val="nil"/>
              <w:bottom w:val="nil"/>
              <w:right w:val="single" w:sz="4" w:space="0" w:color="auto"/>
            </w:tcBorders>
            <w:shd w:val="clear" w:color="auto" w:fill="auto"/>
            <w:noWrap/>
            <w:vAlign w:val="bottom"/>
            <w:hideMark/>
            <w:tcPrChange w:id="20"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6EFF28C6" w14:textId="77777777" w:rsidR="00173EB6" w:rsidRPr="00173EB6" w:rsidRDefault="00173EB6" w:rsidP="00173EB6">
            <w:pPr>
              <w:jc w:val="right"/>
              <w:rPr>
                <w:rFonts w:ascii="Calibri" w:hAnsi="Calibri"/>
                <w:color w:val="000000"/>
              </w:rPr>
            </w:pPr>
            <w:r w:rsidRPr="00173EB6">
              <w:rPr>
                <w:rFonts w:ascii="Calibri" w:hAnsi="Calibri"/>
                <w:color w:val="000000"/>
              </w:rPr>
              <w:t>5,380</w:t>
            </w:r>
          </w:p>
        </w:tc>
        <w:tc>
          <w:tcPr>
            <w:tcW w:w="1087" w:type="dxa"/>
            <w:tcBorders>
              <w:top w:val="nil"/>
              <w:left w:val="nil"/>
              <w:bottom w:val="nil"/>
              <w:right w:val="nil"/>
            </w:tcBorders>
            <w:shd w:val="clear" w:color="auto" w:fill="auto"/>
            <w:noWrap/>
            <w:vAlign w:val="bottom"/>
            <w:hideMark/>
            <w:tcPrChange w:id="21" w:author="David Johns" w:date="2019-09-12T15:37:00Z">
              <w:tcPr>
                <w:tcW w:w="1087" w:type="dxa"/>
                <w:tcBorders>
                  <w:top w:val="nil"/>
                  <w:left w:val="nil"/>
                  <w:bottom w:val="nil"/>
                  <w:right w:val="nil"/>
                </w:tcBorders>
                <w:shd w:val="clear" w:color="auto" w:fill="auto"/>
                <w:noWrap/>
                <w:vAlign w:val="bottom"/>
                <w:hideMark/>
              </w:tcPr>
            </w:tcPrChange>
          </w:tcPr>
          <w:p w14:paraId="4DCC394D" w14:textId="77777777" w:rsidR="00173EB6" w:rsidRPr="00173EB6" w:rsidRDefault="00173EB6" w:rsidP="00173EB6">
            <w:pPr>
              <w:jc w:val="right"/>
              <w:rPr>
                <w:rFonts w:ascii="Calibri" w:hAnsi="Calibri"/>
                <w:color w:val="000000"/>
              </w:rPr>
            </w:pPr>
            <w:r w:rsidRPr="00173EB6">
              <w:rPr>
                <w:rFonts w:ascii="Calibri" w:hAnsi="Calibri"/>
                <w:color w:val="000000"/>
              </w:rPr>
              <w:t>13.0%</w:t>
            </w:r>
          </w:p>
        </w:tc>
      </w:tr>
      <w:tr w:rsidR="006F00BE" w:rsidRPr="00173EB6" w14:paraId="5A8F75FE" w14:textId="77777777" w:rsidTr="006F00BE">
        <w:tblPrEx>
          <w:tblPrExChange w:id="22" w:author="David Johns" w:date="2019-09-12T15:37:00Z">
            <w:tblPrEx>
              <w:tblW w:w="10800" w:type="dxa"/>
              <w:tblInd w:w="-704" w:type="dxa"/>
            </w:tblPrEx>
          </w:tblPrExChange>
        </w:tblPrEx>
        <w:trPr>
          <w:trHeight w:val="300"/>
          <w:trPrChange w:id="23" w:author="David Johns" w:date="2019-09-12T15:37:00Z">
            <w:trPr>
              <w:gridBefore w:val="1"/>
              <w:gridAfter w:val="0"/>
              <w:trHeight w:val="300"/>
            </w:trPr>
          </w:trPrChange>
        </w:trPr>
        <w:tc>
          <w:tcPr>
            <w:tcW w:w="1736" w:type="dxa"/>
            <w:tcBorders>
              <w:top w:val="nil"/>
              <w:left w:val="nil"/>
              <w:bottom w:val="nil"/>
              <w:right w:val="single" w:sz="4" w:space="0" w:color="auto"/>
            </w:tcBorders>
            <w:shd w:val="clear" w:color="auto" w:fill="auto"/>
            <w:noWrap/>
            <w:vAlign w:val="bottom"/>
            <w:hideMark/>
            <w:tcPrChange w:id="24" w:author="David Johns" w:date="2019-09-12T15:37:00Z">
              <w:tcPr>
                <w:tcW w:w="1736" w:type="dxa"/>
                <w:gridSpan w:val="2"/>
                <w:tcBorders>
                  <w:top w:val="nil"/>
                  <w:left w:val="nil"/>
                  <w:bottom w:val="nil"/>
                  <w:right w:val="single" w:sz="4" w:space="0" w:color="auto"/>
                </w:tcBorders>
                <w:shd w:val="clear" w:color="auto" w:fill="auto"/>
                <w:noWrap/>
                <w:vAlign w:val="bottom"/>
                <w:hideMark/>
              </w:tcPr>
            </w:tcPrChange>
          </w:tcPr>
          <w:p w14:paraId="75FF2006" w14:textId="77777777" w:rsidR="00173EB6" w:rsidRPr="00173EB6" w:rsidRDefault="00173EB6" w:rsidP="00173EB6">
            <w:pPr>
              <w:jc w:val="right"/>
              <w:rPr>
                <w:rFonts w:ascii="Calibri" w:hAnsi="Calibri"/>
                <w:color w:val="000000"/>
              </w:rPr>
            </w:pPr>
            <w:r w:rsidRPr="00173EB6">
              <w:rPr>
                <w:rFonts w:ascii="Calibri" w:hAnsi="Calibri"/>
                <w:color w:val="000000"/>
              </w:rPr>
              <w:t>49502</w:t>
            </w:r>
          </w:p>
        </w:tc>
        <w:tc>
          <w:tcPr>
            <w:tcW w:w="2692" w:type="dxa"/>
            <w:tcBorders>
              <w:top w:val="nil"/>
              <w:left w:val="nil"/>
              <w:bottom w:val="nil"/>
              <w:right w:val="single" w:sz="4" w:space="0" w:color="auto"/>
            </w:tcBorders>
            <w:shd w:val="clear" w:color="auto" w:fill="auto"/>
            <w:noWrap/>
            <w:vAlign w:val="bottom"/>
            <w:hideMark/>
            <w:tcPrChange w:id="25" w:author="David Johns" w:date="2019-09-12T15:37:00Z">
              <w:tcPr>
                <w:tcW w:w="2692" w:type="dxa"/>
                <w:gridSpan w:val="2"/>
                <w:tcBorders>
                  <w:top w:val="nil"/>
                  <w:left w:val="nil"/>
                  <w:bottom w:val="nil"/>
                  <w:right w:val="single" w:sz="4" w:space="0" w:color="auto"/>
                </w:tcBorders>
                <w:shd w:val="clear" w:color="auto" w:fill="auto"/>
                <w:noWrap/>
                <w:vAlign w:val="bottom"/>
                <w:hideMark/>
              </w:tcPr>
            </w:tcPrChange>
          </w:tcPr>
          <w:p w14:paraId="577C6E41" w14:textId="77777777" w:rsidR="00173EB6" w:rsidRPr="00173EB6" w:rsidRDefault="00173EB6" w:rsidP="00173EB6">
            <w:pPr>
              <w:rPr>
                <w:rFonts w:ascii="Calibri" w:hAnsi="Calibri"/>
                <w:color w:val="000000"/>
              </w:rPr>
            </w:pPr>
            <w:r w:rsidRPr="00173EB6">
              <w:rPr>
                <w:rFonts w:ascii="Calibri" w:hAnsi="Calibri"/>
                <w:color w:val="000000"/>
              </w:rPr>
              <w:t>Rte 9 After Rte 180</w:t>
            </w:r>
          </w:p>
        </w:tc>
        <w:tc>
          <w:tcPr>
            <w:tcW w:w="1057" w:type="dxa"/>
            <w:tcBorders>
              <w:top w:val="nil"/>
              <w:left w:val="nil"/>
              <w:bottom w:val="nil"/>
              <w:right w:val="single" w:sz="4" w:space="0" w:color="auto"/>
            </w:tcBorders>
            <w:shd w:val="clear" w:color="auto" w:fill="auto"/>
            <w:noWrap/>
            <w:vAlign w:val="bottom"/>
            <w:hideMark/>
            <w:tcPrChange w:id="26"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5B9E98FD" w14:textId="77777777" w:rsidR="00173EB6" w:rsidRPr="00173EB6" w:rsidRDefault="00173EB6" w:rsidP="00173EB6">
            <w:pPr>
              <w:jc w:val="right"/>
              <w:rPr>
                <w:rFonts w:ascii="Calibri" w:hAnsi="Calibri"/>
                <w:color w:val="000000"/>
              </w:rPr>
            </w:pPr>
            <w:r w:rsidRPr="00173EB6">
              <w:rPr>
                <w:rFonts w:ascii="Calibri" w:hAnsi="Calibri"/>
                <w:color w:val="000000"/>
              </w:rPr>
              <w:t>3,730</w:t>
            </w:r>
          </w:p>
        </w:tc>
        <w:tc>
          <w:tcPr>
            <w:tcW w:w="1057" w:type="dxa"/>
            <w:tcBorders>
              <w:top w:val="nil"/>
              <w:left w:val="nil"/>
              <w:bottom w:val="nil"/>
              <w:right w:val="single" w:sz="4" w:space="0" w:color="auto"/>
            </w:tcBorders>
            <w:shd w:val="clear" w:color="auto" w:fill="auto"/>
            <w:noWrap/>
            <w:vAlign w:val="bottom"/>
            <w:hideMark/>
            <w:tcPrChange w:id="27"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6E6018E5" w14:textId="77777777" w:rsidR="00173EB6" w:rsidRPr="00173EB6" w:rsidRDefault="00173EB6" w:rsidP="00173EB6">
            <w:pPr>
              <w:jc w:val="right"/>
              <w:rPr>
                <w:rFonts w:ascii="Calibri" w:hAnsi="Calibri"/>
                <w:color w:val="000000"/>
              </w:rPr>
            </w:pPr>
            <w:r w:rsidRPr="00173EB6">
              <w:rPr>
                <w:rFonts w:ascii="Calibri" w:hAnsi="Calibri"/>
                <w:color w:val="000000"/>
              </w:rPr>
              <w:t>3,970</w:t>
            </w:r>
          </w:p>
        </w:tc>
        <w:tc>
          <w:tcPr>
            <w:tcW w:w="1057" w:type="dxa"/>
            <w:tcBorders>
              <w:top w:val="nil"/>
              <w:left w:val="nil"/>
              <w:bottom w:val="nil"/>
              <w:right w:val="single" w:sz="4" w:space="0" w:color="auto"/>
            </w:tcBorders>
            <w:shd w:val="clear" w:color="auto" w:fill="auto"/>
            <w:noWrap/>
            <w:vAlign w:val="bottom"/>
            <w:hideMark/>
            <w:tcPrChange w:id="28"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77A7F41C" w14:textId="77777777" w:rsidR="00173EB6" w:rsidRPr="00173EB6" w:rsidRDefault="00173EB6" w:rsidP="00173EB6">
            <w:pPr>
              <w:jc w:val="right"/>
              <w:rPr>
                <w:rFonts w:ascii="Calibri" w:hAnsi="Calibri"/>
                <w:color w:val="000000"/>
              </w:rPr>
            </w:pPr>
            <w:r w:rsidRPr="00173EB6">
              <w:rPr>
                <w:rFonts w:ascii="Calibri" w:hAnsi="Calibri"/>
                <w:color w:val="000000"/>
              </w:rPr>
              <w:t>4,320</w:t>
            </w:r>
          </w:p>
        </w:tc>
        <w:tc>
          <w:tcPr>
            <w:tcW w:w="1057" w:type="dxa"/>
            <w:tcBorders>
              <w:top w:val="nil"/>
              <w:left w:val="nil"/>
              <w:bottom w:val="nil"/>
              <w:right w:val="single" w:sz="4" w:space="0" w:color="auto"/>
            </w:tcBorders>
            <w:shd w:val="clear" w:color="auto" w:fill="auto"/>
            <w:noWrap/>
            <w:vAlign w:val="bottom"/>
            <w:hideMark/>
            <w:tcPrChange w:id="29"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014CDE2C" w14:textId="77777777" w:rsidR="00173EB6" w:rsidRPr="00173EB6" w:rsidRDefault="00173EB6" w:rsidP="00173EB6">
            <w:pPr>
              <w:jc w:val="right"/>
              <w:rPr>
                <w:rFonts w:ascii="Calibri" w:hAnsi="Calibri"/>
                <w:color w:val="000000"/>
              </w:rPr>
            </w:pPr>
            <w:r w:rsidRPr="00173EB6">
              <w:rPr>
                <w:rFonts w:ascii="Calibri" w:hAnsi="Calibri"/>
                <w:color w:val="000000"/>
              </w:rPr>
              <w:t>4,350</w:t>
            </w:r>
          </w:p>
        </w:tc>
        <w:tc>
          <w:tcPr>
            <w:tcW w:w="1057" w:type="dxa"/>
            <w:tcBorders>
              <w:top w:val="nil"/>
              <w:left w:val="nil"/>
              <w:bottom w:val="nil"/>
              <w:right w:val="single" w:sz="4" w:space="0" w:color="auto"/>
            </w:tcBorders>
            <w:shd w:val="clear" w:color="auto" w:fill="auto"/>
            <w:noWrap/>
            <w:vAlign w:val="bottom"/>
            <w:hideMark/>
            <w:tcPrChange w:id="30"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7CF3E52B" w14:textId="77777777" w:rsidR="00173EB6" w:rsidRPr="00173EB6" w:rsidRDefault="00173EB6" w:rsidP="00173EB6">
            <w:pPr>
              <w:jc w:val="right"/>
              <w:rPr>
                <w:rFonts w:ascii="Calibri" w:hAnsi="Calibri"/>
                <w:color w:val="000000"/>
              </w:rPr>
            </w:pPr>
            <w:r w:rsidRPr="00173EB6">
              <w:rPr>
                <w:rFonts w:ascii="Calibri" w:hAnsi="Calibri"/>
                <w:color w:val="000000"/>
              </w:rPr>
              <w:t>4,340</w:t>
            </w:r>
          </w:p>
        </w:tc>
        <w:tc>
          <w:tcPr>
            <w:tcW w:w="1087" w:type="dxa"/>
            <w:tcBorders>
              <w:top w:val="nil"/>
              <w:left w:val="nil"/>
              <w:bottom w:val="nil"/>
              <w:right w:val="nil"/>
            </w:tcBorders>
            <w:shd w:val="clear" w:color="auto" w:fill="auto"/>
            <w:noWrap/>
            <w:vAlign w:val="bottom"/>
            <w:hideMark/>
            <w:tcPrChange w:id="31" w:author="David Johns" w:date="2019-09-12T15:37:00Z">
              <w:tcPr>
                <w:tcW w:w="1087" w:type="dxa"/>
                <w:tcBorders>
                  <w:top w:val="nil"/>
                  <w:left w:val="nil"/>
                  <w:bottom w:val="nil"/>
                  <w:right w:val="nil"/>
                </w:tcBorders>
                <w:shd w:val="clear" w:color="auto" w:fill="auto"/>
                <w:noWrap/>
                <w:vAlign w:val="bottom"/>
                <w:hideMark/>
              </w:tcPr>
            </w:tcPrChange>
          </w:tcPr>
          <w:p w14:paraId="33ABA2C0" w14:textId="77777777" w:rsidR="00173EB6" w:rsidRPr="00173EB6" w:rsidRDefault="00173EB6" w:rsidP="00173EB6">
            <w:pPr>
              <w:jc w:val="right"/>
              <w:rPr>
                <w:rFonts w:ascii="Calibri" w:hAnsi="Calibri"/>
                <w:color w:val="000000"/>
              </w:rPr>
            </w:pPr>
            <w:r w:rsidRPr="00173EB6">
              <w:rPr>
                <w:rFonts w:ascii="Calibri" w:hAnsi="Calibri"/>
                <w:color w:val="000000"/>
              </w:rPr>
              <w:t>16.4%</w:t>
            </w:r>
          </w:p>
        </w:tc>
      </w:tr>
      <w:tr w:rsidR="006F00BE" w:rsidRPr="00173EB6" w14:paraId="552B858E" w14:textId="77777777" w:rsidTr="006F00BE">
        <w:tblPrEx>
          <w:tblPrExChange w:id="32" w:author="David Johns" w:date="2019-09-12T15:37:00Z">
            <w:tblPrEx>
              <w:tblW w:w="10800" w:type="dxa"/>
              <w:tblInd w:w="-704" w:type="dxa"/>
            </w:tblPrEx>
          </w:tblPrExChange>
        </w:tblPrEx>
        <w:trPr>
          <w:trHeight w:val="300"/>
          <w:trPrChange w:id="33" w:author="David Johns" w:date="2019-09-12T15:37:00Z">
            <w:trPr>
              <w:gridBefore w:val="1"/>
              <w:gridAfter w:val="0"/>
              <w:trHeight w:val="300"/>
            </w:trPr>
          </w:trPrChange>
        </w:trPr>
        <w:tc>
          <w:tcPr>
            <w:tcW w:w="1736" w:type="dxa"/>
            <w:tcBorders>
              <w:top w:val="nil"/>
              <w:left w:val="nil"/>
              <w:bottom w:val="nil"/>
              <w:right w:val="single" w:sz="4" w:space="0" w:color="auto"/>
            </w:tcBorders>
            <w:shd w:val="clear" w:color="auto" w:fill="auto"/>
            <w:noWrap/>
            <w:vAlign w:val="bottom"/>
            <w:hideMark/>
            <w:tcPrChange w:id="34" w:author="David Johns" w:date="2019-09-12T15:37:00Z">
              <w:tcPr>
                <w:tcW w:w="1736" w:type="dxa"/>
                <w:gridSpan w:val="2"/>
                <w:tcBorders>
                  <w:top w:val="nil"/>
                  <w:left w:val="nil"/>
                  <w:bottom w:val="nil"/>
                  <w:right w:val="single" w:sz="4" w:space="0" w:color="auto"/>
                </w:tcBorders>
                <w:shd w:val="clear" w:color="auto" w:fill="auto"/>
                <w:noWrap/>
                <w:vAlign w:val="bottom"/>
                <w:hideMark/>
              </w:tcPr>
            </w:tcPrChange>
          </w:tcPr>
          <w:p w14:paraId="4CAE6DBC" w14:textId="77777777" w:rsidR="00173EB6" w:rsidRPr="00173EB6" w:rsidRDefault="00173EB6" w:rsidP="00173EB6">
            <w:pPr>
              <w:jc w:val="right"/>
              <w:rPr>
                <w:rFonts w:ascii="Calibri" w:hAnsi="Calibri"/>
                <w:color w:val="000000"/>
              </w:rPr>
            </w:pPr>
            <w:r w:rsidRPr="00173EB6">
              <w:rPr>
                <w:rFonts w:ascii="Calibri" w:hAnsi="Calibri"/>
                <w:color w:val="000000"/>
              </w:rPr>
              <w:t>80100</w:t>
            </w:r>
          </w:p>
        </w:tc>
        <w:tc>
          <w:tcPr>
            <w:tcW w:w="2692" w:type="dxa"/>
            <w:tcBorders>
              <w:top w:val="nil"/>
              <w:left w:val="nil"/>
              <w:bottom w:val="nil"/>
              <w:right w:val="single" w:sz="4" w:space="0" w:color="auto"/>
            </w:tcBorders>
            <w:shd w:val="clear" w:color="auto" w:fill="auto"/>
            <w:noWrap/>
            <w:vAlign w:val="bottom"/>
            <w:hideMark/>
            <w:tcPrChange w:id="35" w:author="David Johns" w:date="2019-09-12T15:37:00Z">
              <w:tcPr>
                <w:tcW w:w="2692" w:type="dxa"/>
                <w:gridSpan w:val="2"/>
                <w:tcBorders>
                  <w:top w:val="nil"/>
                  <w:left w:val="nil"/>
                  <w:bottom w:val="nil"/>
                  <w:right w:val="single" w:sz="4" w:space="0" w:color="auto"/>
                </w:tcBorders>
                <w:shd w:val="clear" w:color="auto" w:fill="auto"/>
                <w:noWrap/>
                <w:vAlign w:val="bottom"/>
                <w:hideMark/>
              </w:tcPr>
            </w:tcPrChange>
          </w:tcPr>
          <w:p w14:paraId="5AB4A4AE" w14:textId="46E2F612" w:rsidR="00173EB6" w:rsidRPr="00173EB6" w:rsidRDefault="00173EB6">
            <w:pPr>
              <w:rPr>
                <w:rFonts w:ascii="Calibri" w:hAnsi="Calibri"/>
                <w:color w:val="000000"/>
              </w:rPr>
            </w:pPr>
            <w:r w:rsidRPr="00173EB6">
              <w:rPr>
                <w:rFonts w:ascii="Calibri" w:hAnsi="Calibri"/>
                <w:color w:val="000000"/>
              </w:rPr>
              <w:t xml:space="preserve">Rte 9 </w:t>
            </w:r>
            <w:r w:rsidR="00A91757">
              <w:rPr>
                <w:rFonts w:ascii="Calibri" w:hAnsi="Calibri"/>
                <w:color w:val="000000"/>
              </w:rPr>
              <w:t>At East T/L</w:t>
            </w:r>
          </w:p>
        </w:tc>
        <w:tc>
          <w:tcPr>
            <w:tcW w:w="1057" w:type="dxa"/>
            <w:tcBorders>
              <w:top w:val="nil"/>
              <w:left w:val="nil"/>
              <w:bottom w:val="nil"/>
              <w:right w:val="single" w:sz="4" w:space="0" w:color="auto"/>
            </w:tcBorders>
            <w:shd w:val="clear" w:color="auto" w:fill="auto"/>
            <w:noWrap/>
            <w:vAlign w:val="bottom"/>
            <w:hideMark/>
            <w:tcPrChange w:id="36"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5F1E89D1" w14:textId="77777777" w:rsidR="00173EB6" w:rsidRPr="00173EB6" w:rsidRDefault="00173EB6" w:rsidP="00173EB6">
            <w:pPr>
              <w:jc w:val="right"/>
              <w:rPr>
                <w:rFonts w:ascii="Calibri" w:hAnsi="Calibri"/>
                <w:color w:val="000000"/>
              </w:rPr>
            </w:pPr>
            <w:r w:rsidRPr="00173EB6">
              <w:rPr>
                <w:rFonts w:ascii="Calibri" w:hAnsi="Calibri"/>
                <w:color w:val="000000"/>
              </w:rPr>
              <w:t>2,750</w:t>
            </w:r>
          </w:p>
        </w:tc>
        <w:tc>
          <w:tcPr>
            <w:tcW w:w="1057" w:type="dxa"/>
            <w:tcBorders>
              <w:top w:val="nil"/>
              <w:left w:val="nil"/>
              <w:bottom w:val="nil"/>
              <w:right w:val="single" w:sz="4" w:space="0" w:color="auto"/>
            </w:tcBorders>
            <w:shd w:val="clear" w:color="auto" w:fill="auto"/>
            <w:noWrap/>
            <w:vAlign w:val="bottom"/>
            <w:hideMark/>
            <w:tcPrChange w:id="37"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3199F244" w14:textId="77777777" w:rsidR="00173EB6" w:rsidRPr="00173EB6" w:rsidRDefault="00173EB6" w:rsidP="00173EB6">
            <w:pPr>
              <w:jc w:val="right"/>
              <w:rPr>
                <w:rFonts w:ascii="Calibri" w:hAnsi="Calibri"/>
                <w:color w:val="000000"/>
              </w:rPr>
            </w:pPr>
            <w:r w:rsidRPr="00173EB6">
              <w:rPr>
                <w:rFonts w:ascii="Calibri" w:hAnsi="Calibri"/>
                <w:color w:val="000000"/>
              </w:rPr>
              <w:t>3,600</w:t>
            </w:r>
          </w:p>
        </w:tc>
        <w:tc>
          <w:tcPr>
            <w:tcW w:w="1057" w:type="dxa"/>
            <w:tcBorders>
              <w:top w:val="nil"/>
              <w:left w:val="nil"/>
              <w:bottom w:val="nil"/>
              <w:right w:val="single" w:sz="4" w:space="0" w:color="auto"/>
            </w:tcBorders>
            <w:shd w:val="clear" w:color="auto" w:fill="auto"/>
            <w:noWrap/>
            <w:vAlign w:val="bottom"/>
            <w:hideMark/>
            <w:tcPrChange w:id="38"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79EFDE49" w14:textId="77777777" w:rsidR="00173EB6" w:rsidRPr="00173EB6" w:rsidRDefault="00173EB6" w:rsidP="00173EB6">
            <w:pPr>
              <w:jc w:val="right"/>
              <w:rPr>
                <w:rFonts w:ascii="Calibri" w:hAnsi="Calibri"/>
                <w:color w:val="000000"/>
              </w:rPr>
            </w:pPr>
            <w:r w:rsidRPr="00173EB6">
              <w:rPr>
                <w:rFonts w:ascii="Calibri" w:hAnsi="Calibri"/>
                <w:color w:val="000000"/>
              </w:rPr>
              <w:t>4,140</w:t>
            </w:r>
          </w:p>
        </w:tc>
        <w:tc>
          <w:tcPr>
            <w:tcW w:w="1057" w:type="dxa"/>
            <w:tcBorders>
              <w:top w:val="nil"/>
              <w:left w:val="nil"/>
              <w:bottom w:val="nil"/>
              <w:right w:val="single" w:sz="4" w:space="0" w:color="auto"/>
            </w:tcBorders>
            <w:shd w:val="clear" w:color="auto" w:fill="auto"/>
            <w:noWrap/>
            <w:vAlign w:val="bottom"/>
            <w:hideMark/>
            <w:tcPrChange w:id="39"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022F9095" w14:textId="77777777" w:rsidR="00173EB6" w:rsidRPr="00173EB6" w:rsidRDefault="00173EB6" w:rsidP="00173EB6">
            <w:pPr>
              <w:jc w:val="right"/>
              <w:rPr>
                <w:rFonts w:ascii="Calibri" w:hAnsi="Calibri"/>
                <w:color w:val="000000"/>
              </w:rPr>
            </w:pPr>
            <w:r w:rsidRPr="00173EB6">
              <w:rPr>
                <w:rFonts w:ascii="Calibri" w:hAnsi="Calibri"/>
                <w:color w:val="000000"/>
              </w:rPr>
              <w:t>3,800</w:t>
            </w:r>
          </w:p>
        </w:tc>
        <w:tc>
          <w:tcPr>
            <w:tcW w:w="1057" w:type="dxa"/>
            <w:tcBorders>
              <w:top w:val="nil"/>
              <w:left w:val="nil"/>
              <w:bottom w:val="nil"/>
              <w:right w:val="single" w:sz="4" w:space="0" w:color="auto"/>
            </w:tcBorders>
            <w:shd w:val="clear" w:color="auto" w:fill="auto"/>
            <w:noWrap/>
            <w:vAlign w:val="bottom"/>
            <w:hideMark/>
            <w:tcPrChange w:id="40"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75CA538E" w14:textId="77777777" w:rsidR="00173EB6" w:rsidRPr="00173EB6" w:rsidRDefault="00173EB6" w:rsidP="00173EB6">
            <w:pPr>
              <w:jc w:val="right"/>
              <w:rPr>
                <w:rFonts w:ascii="Calibri" w:hAnsi="Calibri"/>
                <w:color w:val="000000"/>
              </w:rPr>
            </w:pPr>
            <w:r w:rsidRPr="00173EB6">
              <w:rPr>
                <w:rFonts w:ascii="Calibri" w:hAnsi="Calibri"/>
                <w:color w:val="000000"/>
              </w:rPr>
              <w:t>3,660</w:t>
            </w:r>
          </w:p>
        </w:tc>
        <w:tc>
          <w:tcPr>
            <w:tcW w:w="1087" w:type="dxa"/>
            <w:tcBorders>
              <w:top w:val="nil"/>
              <w:left w:val="nil"/>
              <w:bottom w:val="nil"/>
              <w:right w:val="nil"/>
            </w:tcBorders>
            <w:shd w:val="clear" w:color="auto" w:fill="auto"/>
            <w:noWrap/>
            <w:vAlign w:val="bottom"/>
            <w:hideMark/>
            <w:tcPrChange w:id="41" w:author="David Johns" w:date="2019-09-12T15:37:00Z">
              <w:tcPr>
                <w:tcW w:w="1087" w:type="dxa"/>
                <w:tcBorders>
                  <w:top w:val="nil"/>
                  <w:left w:val="nil"/>
                  <w:bottom w:val="nil"/>
                  <w:right w:val="nil"/>
                </w:tcBorders>
                <w:shd w:val="clear" w:color="auto" w:fill="auto"/>
                <w:noWrap/>
                <w:vAlign w:val="bottom"/>
                <w:hideMark/>
              </w:tcPr>
            </w:tcPrChange>
          </w:tcPr>
          <w:p w14:paraId="6DF46DF7" w14:textId="77777777" w:rsidR="00173EB6" w:rsidRPr="00173EB6" w:rsidRDefault="00173EB6" w:rsidP="00173EB6">
            <w:pPr>
              <w:jc w:val="right"/>
              <w:rPr>
                <w:rFonts w:ascii="Calibri" w:hAnsi="Calibri"/>
                <w:color w:val="000000"/>
              </w:rPr>
            </w:pPr>
            <w:r w:rsidRPr="00173EB6">
              <w:rPr>
                <w:rFonts w:ascii="Calibri" w:hAnsi="Calibri"/>
                <w:color w:val="000000"/>
              </w:rPr>
              <w:t>33.1%</w:t>
            </w:r>
          </w:p>
        </w:tc>
      </w:tr>
      <w:tr w:rsidR="006F00BE" w:rsidRPr="00173EB6" w14:paraId="093ACB33" w14:textId="77777777" w:rsidTr="006F00BE">
        <w:tblPrEx>
          <w:tblPrExChange w:id="42" w:author="David Johns" w:date="2019-09-12T15:37:00Z">
            <w:tblPrEx>
              <w:tblW w:w="10800" w:type="dxa"/>
              <w:tblInd w:w="-704" w:type="dxa"/>
            </w:tblPrEx>
          </w:tblPrExChange>
        </w:tblPrEx>
        <w:trPr>
          <w:trHeight w:val="300"/>
          <w:trPrChange w:id="43" w:author="David Johns" w:date="2019-09-12T15:37:00Z">
            <w:trPr>
              <w:gridBefore w:val="1"/>
              <w:gridAfter w:val="0"/>
              <w:trHeight w:val="300"/>
            </w:trPr>
          </w:trPrChange>
        </w:trPr>
        <w:tc>
          <w:tcPr>
            <w:tcW w:w="1736" w:type="dxa"/>
            <w:tcBorders>
              <w:top w:val="nil"/>
              <w:left w:val="nil"/>
              <w:bottom w:val="nil"/>
              <w:right w:val="single" w:sz="4" w:space="0" w:color="auto"/>
            </w:tcBorders>
            <w:shd w:val="clear" w:color="auto" w:fill="auto"/>
            <w:noWrap/>
            <w:vAlign w:val="bottom"/>
            <w:hideMark/>
            <w:tcPrChange w:id="44" w:author="David Johns" w:date="2019-09-12T15:37:00Z">
              <w:tcPr>
                <w:tcW w:w="1736" w:type="dxa"/>
                <w:gridSpan w:val="2"/>
                <w:tcBorders>
                  <w:top w:val="nil"/>
                  <w:left w:val="nil"/>
                  <w:bottom w:val="nil"/>
                  <w:right w:val="single" w:sz="4" w:space="0" w:color="auto"/>
                </w:tcBorders>
                <w:shd w:val="clear" w:color="auto" w:fill="auto"/>
                <w:noWrap/>
                <w:vAlign w:val="bottom"/>
                <w:hideMark/>
              </w:tcPr>
            </w:tcPrChange>
          </w:tcPr>
          <w:p w14:paraId="01AF76ED" w14:textId="77777777" w:rsidR="00173EB6" w:rsidRPr="00173EB6" w:rsidRDefault="00173EB6" w:rsidP="00173EB6">
            <w:pPr>
              <w:jc w:val="right"/>
              <w:rPr>
                <w:rFonts w:ascii="Calibri" w:hAnsi="Calibri"/>
                <w:color w:val="000000"/>
              </w:rPr>
            </w:pPr>
            <w:r w:rsidRPr="00173EB6">
              <w:rPr>
                <w:rFonts w:ascii="Calibri" w:hAnsi="Calibri"/>
                <w:color w:val="000000"/>
              </w:rPr>
              <w:t>49504</w:t>
            </w:r>
          </w:p>
        </w:tc>
        <w:tc>
          <w:tcPr>
            <w:tcW w:w="2692" w:type="dxa"/>
            <w:tcBorders>
              <w:top w:val="nil"/>
              <w:left w:val="nil"/>
              <w:bottom w:val="nil"/>
              <w:right w:val="single" w:sz="4" w:space="0" w:color="auto"/>
            </w:tcBorders>
            <w:shd w:val="clear" w:color="auto" w:fill="auto"/>
            <w:noWrap/>
            <w:vAlign w:val="bottom"/>
            <w:hideMark/>
            <w:tcPrChange w:id="45" w:author="David Johns" w:date="2019-09-12T15:37:00Z">
              <w:tcPr>
                <w:tcW w:w="2692" w:type="dxa"/>
                <w:gridSpan w:val="2"/>
                <w:tcBorders>
                  <w:top w:val="nil"/>
                  <w:left w:val="nil"/>
                  <w:bottom w:val="nil"/>
                  <w:right w:val="single" w:sz="4" w:space="0" w:color="auto"/>
                </w:tcBorders>
                <w:shd w:val="clear" w:color="auto" w:fill="auto"/>
                <w:noWrap/>
                <w:vAlign w:val="bottom"/>
                <w:hideMark/>
              </w:tcPr>
            </w:tcPrChange>
          </w:tcPr>
          <w:p w14:paraId="43720983" w14:textId="77777777" w:rsidR="00173EB6" w:rsidRPr="00173EB6" w:rsidRDefault="00173EB6" w:rsidP="00173EB6">
            <w:pPr>
              <w:rPr>
                <w:rFonts w:ascii="Calibri" w:hAnsi="Calibri"/>
                <w:color w:val="000000"/>
              </w:rPr>
            </w:pPr>
            <w:r w:rsidRPr="00173EB6">
              <w:rPr>
                <w:rFonts w:ascii="Calibri" w:hAnsi="Calibri"/>
                <w:color w:val="000000"/>
              </w:rPr>
              <w:t>Begin Rte 180</w:t>
            </w:r>
          </w:p>
        </w:tc>
        <w:tc>
          <w:tcPr>
            <w:tcW w:w="1057" w:type="dxa"/>
            <w:tcBorders>
              <w:top w:val="nil"/>
              <w:left w:val="nil"/>
              <w:bottom w:val="nil"/>
              <w:right w:val="single" w:sz="4" w:space="0" w:color="auto"/>
            </w:tcBorders>
            <w:shd w:val="clear" w:color="auto" w:fill="auto"/>
            <w:noWrap/>
            <w:vAlign w:val="bottom"/>
            <w:hideMark/>
            <w:tcPrChange w:id="46"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08E3AEE7" w14:textId="77777777" w:rsidR="00173EB6" w:rsidRPr="00173EB6" w:rsidRDefault="00173EB6" w:rsidP="00173EB6">
            <w:pPr>
              <w:jc w:val="right"/>
              <w:rPr>
                <w:rFonts w:ascii="Calibri" w:hAnsi="Calibri"/>
                <w:color w:val="000000"/>
              </w:rPr>
            </w:pPr>
            <w:r w:rsidRPr="00173EB6">
              <w:rPr>
                <w:rFonts w:ascii="Calibri" w:hAnsi="Calibri"/>
                <w:color w:val="000000"/>
              </w:rPr>
              <w:t>1,040</w:t>
            </w:r>
          </w:p>
        </w:tc>
        <w:tc>
          <w:tcPr>
            <w:tcW w:w="1057" w:type="dxa"/>
            <w:tcBorders>
              <w:top w:val="nil"/>
              <w:left w:val="nil"/>
              <w:bottom w:val="nil"/>
              <w:right w:val="single" w:sz="4" w:space="0" w:color="auto"/>
            </w:tcBorders>
            <w:shd w:val="clear" w:color="auto" w:fill="auto"/>
            <w:noWrap/>
            <w:vAlign w:val="bottom"/>
            <w:hideMark/>
            <w:tcPrChange w:id="47"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21B982E6" w14:textId="77777777" w:rsidR="00173EB6" w:rsidRPr="00173EB6" w:rsidRDefault="00173EB6" w:rsidP="00173EB6">
            <w:pPr>
              <w:jc w:val="right"/>
              <w:rPr>
                <w:rFonts w:ascii="Calibri" w:hAnsi="Calibri"/>
                <w:color w:val="000000"/>
              </w:rPr>
            </w:pPr>
            <w:r w:rsidRPr="00173EB6">
              <w:rPr>
                <w:rFonts w:ascii="Calibri" w:hAnsi="Calibri"/>
                <w:color w:val="000000"/>
              </w:rPr>
              <w:t>1,000</w:t>
            </w:r>
          </w:p>
        </w:tc>
        <w:tc>
          <w:tcPr>
            <w:tcW w:w="1057" w:type="dxa"/>
            <w:tcBorders>
              <w:top w:val="nil"/>
              <w:left w:val="nil"/>
              <w:bottom w:val="nil"/>
              <w:right w:val="single" w:sz="4" w:space="0" w:color="auto"/>
            </w:tcBorders>
            <w:shd w:val="clear" w:color="auto" w:fill="auto"/>
            <w:noWrap/>
            <w:vAlign w:val="bottom"/>
            <w:hideMark/>
            <w:tcPrChange w:id="48"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64DF871F" w14:textId="77777777" w:rsidR="00173EB6" w:rsidRPr="00173EB6" w:rsidRDefault="00173EB6" w:rsidP="00173EB6">
            <w:pPr>
              <w:jc w:val="right"/>
              <w:rPr>
                <w:rFonts w:ascii="Calibri" w:hAnsi="Calibri"/>
                <w:color w:val="000000"/>
              </w:rPr>
            </w:pPr>
            <w:r w:rsidRPr="00173EB6">
              <w:rPr>
                <w:rFonts w:ascii="Calibri" w:hAnsi="Calibri"/>
                <w:color w:val="000000"/>
              </w:rPr>
              <w:t>980</w:t>
            </w:r>
          </w:p>
        </w:tc>
        <w:tc>
          <w:tcPr>
            <w:tcW w:w="1057" w:type="dxa"/>
            <w:tcBorders>
              <w:top w:val="nil"/>
              <w:left w:val="nil"/>
              <w:bottom w:val="nil"/>
              <w:right w:val="single" w:sz="4" w:space="0" w:color="auto"/>
            </w:tcBorders>
            <w:shd w:val="clear" w:color="auto" w:fill="auto"/>
            <w:noWrap/>
            <w:vAlign w:val="bottom"/>
            <w:hideMark/>
            <w:tcPrChange w:id="49"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6E4F9ABB" w14:textId="77777777" w:rsidR="00173EB6" w:rsidRPr="00173EB6" w:rsidRDefault="00173EB6" w:rsidP="00173EB6">
            <w:pPr>
              <w:jc w:val="right"/>
              <w:rPr>
                <w:rFonts w:ascii="Calibri" w:hAnsi="Calibri"/>
                <w:color w:val="000000"/>
              </w:rPr>
            </w:pPr>
            <w:r w:rsidRPr="00173EB6">
              <w:rPr>
                <w:rFonts w:ascii="Calibri" w:hAnsi="Calibri"/>
                <w:color w:val="000000"/>
              </w:rPr>
              <w:t>1,110</w:t>
            </w:r>
          </w:p>
        </w:tc>
        <w:tc>
          <w:tcPr>
            <w:tcW w:w="1057" w:type="dxa"/>
            <w:tcBorders>
              <w:top w:val="nil"/>
              <w:left w:val="nil"/>
              <w:bottom w:val="nil"/>
              <w:right w:val="single" w:sz="4" w:space="0" w:color="auto"/>
            </w:tcBorders>
            <w:shd w:val="clear" w:color="auto" w:fill="auto"/>
            <w:noWrap/>
            <w:vAlign w:val="bottom"/>
            <w:hideMark/>
            <w:tcPrChange w:id="50"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7EEFFC67" w14:textId="77777777" w:rsidR="00173EB6" w:rsidRPr="00173EB6" w:rsidRDefault="00173EB6" w:rsidP="00173EB6">
            <w:pPr>
              <w:jc w:val="right"/>
              <w:rPr>
                <w:rFonts w:ascii="Calibri" w:hAnsi="Calibri"/>
                <w:color w:val="000000"/>
              </w:rPr>
            </w:pPr>
            <w:r w:rsidRPr="00173EB6">
              <w:rPr>
                <w:rFonts w:ascii="Calibri" w:hAnsi="Calibri"/>
                <w:color w:val="000000"/>
              </w:rPr>
              <w:t>1,000</w:t>
            </w:r>
          </w:p>
        </w:tc>
        <w:tc>
          <w:tcPr>
            <w:tcW w:w="1087" w:type="dxa"/>
            <w:tcBorders>
              <w:top w:val="nil"/>
              <w:left w:val="nil"/>
              <w:bottom w:val="nil"/>
              <w:right w:val="nil"/>
            </w:tcBorders>
            <w:shd w:val="clear" w:color="auto" w:fill="auto"/>
            <w:noWrap/>
            <w:vAlign w:val="bottom"/>
            <w:hideMark/>
            <w:tcPrChange w:id="51" w:author="David Johns" w:date="2019-09-12T15:37:00Z">
              <w:tcPr>
                <w:tcW w:w="1087" w:type="dxa"/>
                <w:tcBorders>
                  <w:top w:val="nil"/>
                  <w:left w:val="nil"/>
                  <w:bottom w:val="nil"/>
                  <w:right w:val="nil"/>
                </w:tcBorders>
                <w:shd w:val="clear" w:color="auto" w:fill="auto"/>
                <w:noWrap/>
                <w:vAlign w:val="bottom"/>
                <w:hideMark/>
              </w:tcPr>
            </w:tcPrChange>
          </w:tcPr>
          <w:p w14:paraId="57B30104" w14:textId="77777777" w:rsidR="00173EB6" w:rsidRPr="00173EB6" w:rsidRDefault="00173EB6" w:rsidP="00173EB6">
            <w:pPr>
              <w:jc w:val="right"/>
              <w:rPr>
                <w:rFonts w:ascii="Calibri" w:hAnsi="Calibri"/>
                <w:color w:val="000000"/>
              </w:rPr>
            </w:pPr>
            <w:r w:rsidRPr="00173EB6">
              <w:rPr>
                <w:rFonts w:ascii="Calibri" w:hAnsi="Calibri"/>
                <w:color w:val="000000"/>
              </w:rPr>
              <w:t>-3.8%</w:t>
            </w:r>
          </w:p>
        </w:tc>
      </w:tr>
      <w:tr w:rsidR="006F00BE" w:rsidRPr="00173EB6" w14:paraId="61DFAADC" w14:textId="77777777" w:rsidTr="006F00BE">
        <w:tblPrEx>
          <w:tblPrExChange w:id="52" w:author="David Johns" w:date="2019-09-12T15:37:00Z">
            <w:tblPrEx>
              <w:tblW w:w="10800" w:type="dxa"/>
              <w:tblInd w:w="-704" w:type="dxa"/>
            </w:tblPrEx>
          </w:tblPrExChange>
        </w:tblPrEx>
        <w:trPr>
          <w:trHeight w:val="300"/>
          <w:trPrChange w:id="53" w:author="David Johns" w:date="2019-09-12T15:37:00Z">
            <w:trPr>
              <w:gridBefore w:val="1"/>
              <w:gridAfter w:val="0"/>
              <w:trHeight w:val="300"/>
            </w:trPr>
          </w:trPrChange>
        </w:trPr>
        <w:tc>
          <w:tcPr>
            <w:tcW w:w="1736" w:type="dxa"/>
            <w:tcBorders>
              <w:top w:val="nil"/>
              <w:left w:val="nil"/>
              <w:bottom w:val="nil"/>
              <w:right w:val="single" w:sz="4" w:space="0" w:color="auto"/>
            </w:tcBorders>
            <w:shd w:val="clear" w:color="auto" w:fill="auto"/>
            <w:noWrap/>
            <w:vAlign w:val="bottom"/>
            <w:hideMark/>
            <w:tcPrChange w:id="54" w:author="David Johns" w:date="2019-09-12T15:37:00Z">
              <w:tcPr>
                <w:tcW w:w="1736" w:type="dxa"/>
                <w:gridSpan w:val="2"/>
                <w:tcBorders>
                  <w:top w:val="nil"/>
                  <w:left w:val="nil"/>
                  <w:bottom w:val="nil"/>
                  <w:right w:val="single" w:sz="4" w:space="0" w:color="auto"/>
                </w:tcBorders>
                <w:shd w:val="clear" w:color="auto" w:fill="auto"/>
                <w:noWrap/>
                <w:vAlign w:val="bottom"/>
                <w:hideMark/>
              </w:tcPr>
            </w:tcPrChange>
          </w:tcPr>
          <w:p w14:paraId="2F9227B7" w14:textId="77777777" w:rsidR="00173EB6" w:rsidRPr="00173EB6" w:rsidRDefault="00173EB6" w:rsidP="00173EB6">
            <w:pPr>
              <w:jc w:val="right"/>
              <w:rPr>
                <w:rFonts w:ascii="Calibri" w:hAnsi="Calibri"/>
                <w:color w:val="000000"/>
              </w:rPr>
            </w:pPr>
            <w:r w:rsidRPr="00173EB6">
              <w:rPr>
                <w:rFonts w:ascii="Calibri" w:hAnsi="Calibri"/>
                <w:color w:val="000000"/>
              </w:rPr>
              <w:t>62504</w:t>
            </w:r>
          </w:p>
        </w:tc>
        <w:tc>
          <w:tcPr>
            <w:tcW w:w="2692" w:type="dxa"/>
            <w:tcBorders>
              <w:top w:val="nil"/>
              <w:left w:val="nil"/>
              <w:bottom w:val="nil"/>
              <w:right w:val="single" w:sz="4" w:space="0" w:color="auto"/>
            </w:tcBorders>
            <w:shd w:val="clear" w:color="auto" w:fill="auto"/>
            <w:noWrap/>
            <w:vAlign w:val="bottom"/>
            <w:hideMark/>
            <w:tcPrChange w:id="55" w:author="David Johns" w:date="2019-09-12T15:37:00Z">
              <w:tcPr>
                <w:tcW w:w="2692" w:type="dxa"/>
                <w:gridSpan w:val="2"/>
                <w:tcBorders>
                  <w:top w:val="nil"/>
                  <w:left w:val="nil"/>
                  <w:bottom w:val="nil"/>
                  <w:right w:val="single" w:sz="4" w:space="0" w:color="auto"/>
                </w:tcBorders>
                <w:shd w:val="clear" w:color="auto" w:fill="auto"/>
                <w:noWrap/>
                <w:vAlign w:val="bottom"/>
                <w:hideMark/>
              </w:tcPr>
            </w:tcPrChange>
          </w:tcPr>
          <w:p w14:paraId="150A5633" w14:textId="3C6B0270" w:rsidR="00173EB6" w:rsidRPr="00173EB6" w:rsidRDefault="00173EB6">
            <w:pPr>
              <w:rPr>
                <w:rFonts w:ascii="Calibri" w:hAnsi="Calibri"/>
                <w:color w:val="000000"/>
              </w:rPr>
            </w:pPr>
            <w:r w:rsidRPr="00173EB6">
              <w:rPr>
                <w:rFonts w:ascii="Calibri" w:hAnsi="Calibri"/>
                <w:color w:val="000000"/>
              </w:rPr>
              <w:t xml:space="preserve">Rte 180 </w:t>
            </w:r>
            <w:r w:rsidR="00A91757">
              <w:rPr>
                <w:rFonts w:ascii="Calibri" w:hAnsi="Calibri"/>
                <w:color w:val="000000"/>
              </w:rPr>
              <w:t>@ South T/L</w:t>
            </w:r>
          </w:p>
        </w:tc>
        <w:tc>
          <w:tcPr>
            <w:tcW w:w="1057" w:type="dxa"/>
            <w:tcBorders>
              <w:top w:val="nil"/>
              <w:left w:val="nil"/>
              <w:bottom w:val="nil"/>
              <w:right w:val="single" w:sz="4" w:space="0" w:color="auto"/>
            </w:tcBorders>
            <w:shd w:val="clear" w:color="auto" w:fill="auto"/>
            <w:noWrap/>
            <w:vAlign w:val="bottom"/>
            <w:hideMark/>
            <w:tcPrChange w:id="56"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48999747" w14:textId="77777777" w:rsidR="00173EB6" w:rsidRPr="00173EB6" w:rsidRDefault="00173EB6" w:rsidP="00173EB6">
            <w:pPr>
              <w:jc w:val="right"/>
              <w:rPr>
                <w:rFonts w:ascii="Calibri" w:hAnsi="Calibri"/>
                <w:color w:val="000000"/>
              </w:rPr>
            </w:pPr>
            <w:r w:rsidRPr="00173EB6">
              <w:rPr>
                <w:rFonts w:ascii="Calibri" w:hAnsi="Calibri"/>
                <w:color w:val="000000"/>
              </w:rPr>
              <w:t>620</w:t>
            </w:r>
          </w:p>
        </w:tc>
        <w:tc>
          <w:tcPr>
            <w:tcW w:w="1057" w:type="dxa"/>
            <w:tcBorders>
              <w:top w:val="nil"/>
              <w:left w:val="nil"/>
              <w:bottom w:val="nil"/>
              <w:right w:val="single" w:sz="4" w:space="0" w:color="auto"/>
            </w:tcBorders>
            <w:shd w:val="clear" w:color="auto" w:fill="auto"/>
            <w:noWrap/>
            <w:vAlign w:val="bottom"/>
            <w:hideMark/>
            <w:tcPrChange w:id="57"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474D53D6" w14:textId="77777777" w:rsidR="00173EB6" w:rsidRPr="00173EB6" w:rsidRDefault="00173EB6" w:rsidP="00173EB6">
            <w:pPr>
              <w:rPr>
                <w:rFonts w:ascii="Calibri" w:hAnsi="Calibri"/>
                <w:color w:val="000000"/>
              </w:rPr>
            </w:pPr>
            <w:r w:rsidRPr="00173EB6">
              <w:rPr>
                <w:rFonts w:ascii="Calibri" w:hAnsi="Calibri"/>
                <w:color w:val="000000"/>
              </w:rPr>
              <w:t> </w:t>
            </w:r>
          </w:p>
        </w:tc>
        <w:tc>
          <w:tcPr>
            <w:tcW w:w="1057" w:type="dxa"/>
            <w:tcBorders>
              <w:top w:val="nil"/>
              <w:left w:val="nil"/>
              <w:bottom w:val="nil"/>
              <w:right w:val="single" w:sz="4" w:space="0" w:color="auto"/>
            </w:tcBorders>
            <w:shd w:val="clear" w:color="auto" w:fill="auto"/>
            <w:noWrap/>
            <w:vAlign w:val="bottom"/>
            <w:hideMark/>
            <w:tcPrChange w:id="58"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7C9618CC" w14:textId="77777777" w:rsidR="00173EB6" w:rsidRPr="00173EB6" w:rsidRDefault="00173EB6" w:rsidP="00173EB6">
            <w:pPr>
              <w:jc w:val="right"/>
              <w:rPr>
                <w:rFonts w:ascii="Calibri" w:hAnsi="Calibri"/>
                <w:color w:val="000000"/>
              </w:rPr>
            </w:pPr>
            <w:r w:rsidRPr="00173EB6">
              <w:rPr>
                <w:rFonts w:ascii="Calibri" w:hAnsi="Calibri"/>
                <w:color w:val="000000"/>
              </w:rPr>
              <w:t>770</w:t>
            </w:r>
          </w:p>
        </w:tc>
        <w:tc>
          <w:tcPr>
            <w:tcW w:w="1057" w:type="dxa"/>
            <w:tcBorders>
              <w:top w:val="nil"/>
              <w:left w:val="nil"/>
              <w:bottom w:val="nil"/>
              <w:right w:val="single" w:sz="4" w:space="0" w:color="auto"/>
            </w:tcBorders>
            <w:shd w:val="clear" w:color="auto" w:fill="auto"/>
            <w:noWrap/>
            <w:vAlign w:val="bottom"/>
            <w:hideMark/>
            <w:tcPrChange w:id="59"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25424512" w14:textId="77777777" w:rsidR="00173EB6" w:rsidRPr="00173EB6" w:rsidRDefault="00173EB6" w:rsidP="00173EB6">
            <w:pPr>
              <w:jc w:val="right"/>
              <w:rPr>
                <w:rFonts w:ascii="Calibri" w:hAnsi="Calibri"/>
                <w:color w:val="000000"/>
              </w:rPr>
            </w:pPr>
            <w:r w:rsidRPr="00173EB6">
              <w:rPr>
                <w:rFonts w:ascii="Calibri" w:hAnsi="Calibri"/>
                <w:color w:val="000000"/>
              </w:rPr>
              <w:t>790</w:t>
            </w:r>
          </w:p>
        </w:tc>
        <w:tc>
          <w:tcPr>
            <w:tcW w:w="1057" w:type="dxa"/>
            <w:tcBorders>
              <w:top w:val="nil"/>
              <w:left w:val="nil"/>
              <w:bottom w:val="nil"/>
              <w:right w:val="single" w:sz="4" w:space="0" w:color="auto"/>
            </w:tcBorders>
            <w:shd w:val="clear" w:color="auto" w:fill="auto"/>
            <w:noWrap/>
            <w:vAlign w:val="bottom"/>
            <w:hideMark/>
            <w:tcPrChange w:id="60" w:author="David Johns" w:date="2019-09-12T15:37:00Z">
              <w:tcPr>
                <w:tcW w:w="1057" w:type="dxa"/>
                <w:gridSpan w:val="2"/>
                <w:tcBorders>
                  <w:top w:val="nil"/>
                  <w:left w:val="nil"/>
                  <w:bottom w:val="nil"/>
                  <w:right w:val="single" w:sz="4" w:space="0" w:color="auto"/>
                </w:tcBorders>
                <w:shd w:val="clear" w:color="auto" w:fill="auto"/>
                <w:noWrap/>
                <w:vAlign w:val="bottom"/>
                <w:hideMark/>
              </w:tcPr>
            </w:tcPrChange>
          </w:tcPr>
          <w:p w14:paraId="7A6079DC" w14:textId="77777777" w:rsidR="00173EB6" w:rsidRPr="00173EB6" w:rsidRDefault="00173EB6" w:rsidP="00173EB6">
            <w:pPr>
              <w:jc w:val="right"/>
              <w:rPr>
                <w:rFonts w:ascii="Calibri" w:hAnsi="Calibri"/>
                <w:color w:val="000000"/>
              </w:rPr>
            </w:pPr>
            <w:r w:rsidRPr="00173EB6">
              <w:rPr>
                <w:rFonts w:ascii="Calibri" w:hAnsi="Calibri"/>
                <w:color w:val="000000"/>
              </w:rPr>
              <w:t>700</w:t>
            </w:r>
          </w:p>
        </w:tc>
        <w:tc>
          <w:tcPr>
            <w:tcW w:w="1087" w:type="dxa"/>
            <w:tcBorders>
              <w:top w:val="nil"/>
              <w:left w:val="nil"/>
              <w:bottom w:val="nil"/>
              <w:right w:val="nil"/>
            </w:tcBorders>
            <w:shd w:val="clear" w:color="auto" w:fill="auto"/>
            <w:noWrap/>
            <w:vAlign w:val="bottom"/>
            <w:hideMark/>
            <w:tcPrChange w:id="61" w:author="David Johns" w:date="2019-09-12T15:37:00Z">
              <w:tcPr>
                <w:tcW w:w="1087" w:type="dxa"/>
                <w:tcBorders>
                  <w:top w:val="nil"/>
                  <w:left w:val="nil"/>
                  <w:bottom w:val="nil"/>
                  <w:right w:val="nil"/>
                </w:tcBorders>
                <w:shd w:val="clear" w:color="auto" w:fill="auto"/>
                <w:noWrap/>
                <w:vAlign w:val="bottom"/>
                <w:hideMark/>
              </w:tcPr>
            </w:tcPrChange>
          </w:tcPr>
          <w:p w14:paraId="622FE135" w14:textId="77777777" w:rsidR="00173EB6" w:rsidRPr="00173EB6" w:rsidRDefault="00173EB6" w:rsidP="00173EB6">
            <w:pPr>
              <w:jc w:val="right"/>
              <w:rPr>
                <w:rFonts w:ascii="Calibri" w:hAnsi="Calibri"/>
                <w:color w:val="000000"/>
              </w:rPr>
            </w:pPr>
            <w:r w:rsidRPr="00173EB6">
              <w:rPr>
                <w:rFonts w:ascii="Calibri" w:hAnsi="Calibri"/>
                <w:color w:val="000000"/>
              </w:rPr>
              <w:t>12.9%</w:t>
            </w:r>
          </w:p>
        </w:tc>
      </w:tr>
    </w:tbl>
    <w:p w14:paraId="201F4350" w14:textId="77777777" w:rsidR="008A25B4" w:rsidRDefault="008A25B4" w:rsidP="00602D22"/>
    <w:p w14:paraId="31A18E03" w14:textId="4266EA77" w:rsidR="00232618" w:rsidRDefault="008A25B4" w:rsidP="00E708DE">
      <w:pPr>
        <w:spacing w:after="120"/>
      </w:pPr>
      <w:r>
        <w:tab/>
      </w:r>
      <w:r w:rsidR="00202D2B">
        <w:t xml:space="preserve">In summary, </w:t>
      </w:r>
      <w:r>
        <w:t xml:space="preserve">taking 5,380 </w:t>
      </w:r>
      <w:r w:rsidR="00340C96">
        <w:t xml:space="preserve">(west side) </w:t>
      </w:r>
      <w:r>
        <w:t>and su</w:t>
      </w:r>
      <w:r w:rsidR="002C1A05">
        <w:t xml:space="preserve">btracting 3,660 </w:t>
      </w:r>
      <w:r w:rsidR="00340C96">
        <w:t xml:space="preserve">(east side) </w:t>
      </w:r>
      <w:r w:rsidR="002C1A05">
        <w:t xml:space="preserve">equals 1720.  </w:t>
      </w:r>
      <w:r w:rsidR="000E4148">
        <w:t xml:space="preserve">One thousand of those trips are on Route 180.  Thus there are roughly 350 round trips on Route 9 </w:t>
      </w:r>
      <w:r w:rsidR="00340C96">
        <w:t>adding back the</w:t>
      </w:r>
      <w:r w:rsidR="000E4148">
        <w:t xml:space="preserve"> 150 round trips on Route 180 </w:t>
      </w:r>
      <w:r w:rsidR="00340C96">
        <w:t xml:space="preserve">(as described above) </w:t>
      </w:r>
      <w:r w:rsidR="000E4148">
        <w:t xml:space="preserve">or a total </w:t>
      </w:r>
      <w:r w:rsidR="00340C96">
        <w:t>500 local traffic round trips per day on the state roads in Clifton.</w:t>
      </w:r>
    </w:p>
    <w:p w14:paraId="4748C56E" w14:textId="77777777" w:rsidR="007B44B7" w:rsidRPr="0038110A" w:rsidRDefault="007B44B7" w:rsidP="007B44B7">
      <w:pPr>
        <w:spacing w:after="120"/>
        <w:rPr>
          <w:b/>
          <w:u w:val="single"/>
        </w:rPr>
      </w:pPr>
      <w:r w:rsidRPr="0038110A">
        <w:rPr>
          <w:b/>
          <w:u w:val="single"/>
        </w:rPr>
        <w:t>MAINEDOT ASSESSMENT</w:t>
      </w:r>
    </w:p>
    <w:p w14:paraId="65F2787C" w14:textId="4E6ADA63" w:rsidR="00124419" w:rsidRDefault="00124419" w:rsidP="007B44B7">
      <w:pPr>
        <w:spacing w:after="120"/>
      </w:pPr>
      <w:r>
        <w:tab/>
      </w:r>
      <w:r w:rsidR="007B44B7">
        <w:t>MaineDOT is currently assessing all state highways and state-aid roads using a number of physical measure</w:t>
      </w:r>
      <w:r>
        <w:t>s for level of service, safety and c</w:t>
      </w:r>
      <w:r w:rsidR="007B44B7">
        <w:t xml:space="preserve">ondition. </w:t>
      </w:r>
      <w:r>
        <w:t xml:space="preserve"> </w:t>
      </w:r>
      <w:r w:rsidR="007B44B7">
        <w:t xml:space="preserve">The physical measures </w:t>
      </w:r>
      <w:r>
        <w:t xml:space="preserve">combine </w:t>
      </w:r>
      <w:r w:rsidR="007B44B7">
        <w:t xml:space="preserve">to form ratings </w:t>
      </w:r>
      <w:r>
        <w:t>using</w:t>
      </w:r>
      <w:r w:rsidR="007B44B7">
        <w:t xml:space="preserve"> grades A to F for each of the three categories along defined segments of the highways. </w:t>
      </w:r>
    </w:p>
    <w:p w14:paraId="1684FACE" w14:textId="1A155372" w:rsidR="007B44B7" w:rsidRPr="00602D22" w:rsidRDefault="00124419" w:rsidP="007B44B7">
      <w:pPr>
        <w:spacing w:after="120"/>
        <w:rPr>
          <w:u w:val="single"/>
        </w:rPr>
      </w:pPr>
      <w:r w:rsidRPr="00602D22">
        <w:rPr>
          <w:u w:val="single"/>
        </w:rPr>
        <w:t>Level of Service</w:t>
      </w:r>
    </w:p>
    <w:p w14:paraId="0696819D" w14:textId="48B5E501" w:rsidR="007B44B7" w:rsidRDefault="002E0734" w:rsidP="007B44B7">
      <w:pPr>
        <w:spacing w:after="120"/>
      </w:pPr>
      <w:r>
        <w:tab/>
      </w:r>
      <w:r w:rsidR="007B44B7">
        <w:t>In 2014 MDOT rated levels of service for state highways based on three criteria:</w:t>
      </w:r>
    </w:p>
    <w:p w14:paraId="56F7102B" w14:textId="77777777" w:rsidR="007B44B7" w:rsidRDefault="007B44B7" w:rsidP="00602D22">
      <w:pPr>
        <w:ind w:left="720"/>
      </w:pPr>
      <w:r>
        <w:t>•</w:t>
      </w:r>
      <w:r>
        <w:tab/>
        <w:t>Road posting (typically during the spring thaw)</w:t>
      </w:r>
    </w:p>
    <w:p w14:paraId="5F341AEF" w14:textId="77777777" w:rsidR="007B44B7" w:rsidRDefault="007B44B7" w:rsidP="00602D22">
      <w:pPr>
        <w:ind w:left="720"/>
      </w:pPr>
      <w:r>
        <w:t>•</w:t>
      </w:r>
      <w:r>
        <w:tab/>
        <w:t>Bridge posting</w:t>
      </w:r>
    </w:p>
    <w:p w14:paraId="55215549" w14:textId="7356BC4E" w:rsidR="007B44B7" w:rsidRDefault="007B44B7" w:rsidP="00602D22">
      <w:pPr>
        <w:ind w:left="720"/>
      </w:pPr>
      <w:r>
        <w:t>•</w:t>
      </w:r>
      <w:r>
        <w:tab/>
        <w:t>Congestion</w:t>
      </w:r>
    </w:p>
    <w:p w14:paraId="5C4B1031" w14:textId="68000D9F" w:rsidR="007B44B7" w:rsidRDefault="007B44B7" w:rsidP="00602D22">
      <w:pPr>
        <w:spacing w:before="120" w:after="120"/>
      </w:pPr>
      <w:r>
        <w:t xml:space="preserve">Route 9 received a level of service rating of A </w:t>
      </w:r>
      <w:r w:rsidR="002E0734">
        <w:t>throughout;</w:t>
      </w:r>
      <w:r>
        <w:t xml:space="preserve"> no deficiencies noted with respect to road posting, bridge posting and congestion. </w:t>
      </w:r>
      <w:r w:rsidR="002E0734">
        <w:t xml:space="preserve"> </w:t>
      </w:r>
      <w:r>
        <w:t xml:space="preserve">Route 180 received a rating of C due to the need for road posting. </w:t>
      </w:r>
      <w:r w:rsidR="002E0734">
        <w:t xml:space="preserve"> </w:t>
      </w:r>
      <w:r>
        <w:t xml:space="preserve">Both state highways received an A for congestion, suggesting that both roads have significant additional capacity. </w:t>
      </w:r>
      <w:r w:rsidR="002E0734">
        <w:t xml:space="preserve"> </w:t>
      </w:r>
      <w:r>
        <w:t>A congestion rating of C or below would indicate a capacity problem.</w:t>
      </w:r>
    </w:p>
    <w:p w14:paraId="2FD86503" w14:textId="338531C6" w:rsidR="007B44B7" w:rsidRPr="00602D22" w:rsidRDefault="00356040" w:rsidP="007B44B7">
      <w:pPr>
        <w:spacing w:after="120"/>
        <w:rPr>
          <w:u w:val="single"/>
        </w:rPr>
      </w:pPr>
      <w:r w:rsidRPr="00602D22">
        <w:rPr>
          <w:u w:val="single"/>
        </w:rPr>
        <w:t>Safety</w:t>
      </w:r>
    </w:p>
    <w:p w14:paraId="1BA800DB" w14:textId="17D336D3" w:rsidR="007B44B7" w:rsidRDefault="00356040" w:rsidP="007B44B7">
      <w:pPr>
        <w:spacing w:after="120"/>
      </w:pPr>
      <w:r>
        <w:tab/>
      </w:r>
      <w:r w:rsidR="007B44B7">
        <w:t>MaineDOT rates all state highways for safety based on:</w:t>
      </w:r>
    </w:p>
    <w:p w14:paraId="17358018" w14:textId="77777777" w:rsidR="007B44B7" w:rsidRDefault="007B44B7" w:rsidP="00602D22">
      <w:r>
        <w:t>•</w:t>
      </w:r>
      <w:r>
        <w:tab/>
        <w:t>Pavement Rutting</w:t>
      </w:r>
    </w:p>
    <w:p w14:paraId="7A7FC479" w14:textId="77777777" w:rsidR="007B44B7" w:rsidRDefault="007B44B7" w:rsidP="00602D22">
      <w:r>
        <w:t>•</w:t>
      </w:r>
      <w:r>
        <w:tab/>
        <w:t>Crash History</w:t>
      </w:r>
    </w:p>
    <w:p w14:paraId="52E62F78" w14:textId="66B1A526" w:rsidR="007B44B7" w:rsidRDefault="007B44B7" w:rsidP="00602D22">
      <w:r>
        <w:t>•</w:t>
      </w:r>
      <w:r>
        <w:tab/>
        <w:t>Pavement Width</w:t>
      </w:r>
    </w:p>
    <w:p w14:paraId="20A1E468" w14:textId="0274D235" w:rsidR="007B44B7" w:rsidRDefault="007B44B7" w:rsidP="00602D22">
      <w:pPr>
        <w:spacing w:before="120" w:after="120"/>
      </w:pPr>
      <w:r>
        <w:t xml:space="preserve">Route 9 from the Eddington town line to </w:t>
      </w:r>
      <w:r w:rsidR="008961DC">
        <w:t>Mill Lane (just west of Parks Pond)</w:t>
      </w:r>
      <w:r>
        <w:t xml:space="preserve"> </w:t>
      </w:r>
      <w:r w:rsidR="00356040">
        <w:t>received a</w:t>
      </w:r>
      <w:r>
        <w:t xml:space="preserve"> B </w:t>
      </w:r>
      <w:r w:rsidR="00356040">
        <w:t xml:space="preserve">rating </w:t>
      </w:r>
      <w:r>
        <w:t xml:space="preserve">primarily because of the crash history. </w:t>
      </w:r>
      <w:r w:rsidR="00356040">
        <w:t xml:space="preserve"> </w:t>
      </w:r>
      <w:r>
        <w:t>Route 9 ea</w:t>
      </w:r>
      <w:r w:rsidR="00356040">
        <w:t xml:space="preserve">st of </w:t>
      </w:r>
      <w:r w:rsidR="008961DC">
        <w:t>Mill Lane</w:t>
      </w:r>
      <w:r w:rsidR="00356040">
        <w:t xml:space="preserve"> is rated </w:t>
      </w:r>
      <w:r>
        <w:t xml:space="preserve">F also due to crash history.  Route 180 received a rating of D due to crash history and pavement width. </w:t>
      </w:r>
      <w:r w:rsidR="00356040">
        <w:t xml:space="preserve"> </w:t>
      </w:r>
      <w:r>
        <w:t xml:space="preserve">While there </w:t>
      </w:r>
      <w:r w:rsidR="00356040">
        <w:t>is a history of</w:t>
      </w:r>
      <w:r>
        <w:t xml:space="preserve"> significant number of crashes on Route 9 and Route 180, the frequency is not abnormal for the volume of traffic they carry. </w:t>
      </w:r>
      <w:r w:rsidR="00356040">
        <w:t xml:space="preserve"> </w:t>
      </w:r>
      <w:r>
        <w:t xml:space="preserve">A high crash location is a location that exhibits a Critical Rate Factor (CRF) equal to or greater than 1.0 and has experienced at least 8 crashes in the most recent complete 3-year period. </w:t>
      </w:r>
      <w:r w:rsidR="00356040">
        <w:t xml:space="preserve"> </w:t>
      </w:r>
      <w:r>
        <w:t xml:space="preserve">The Maine Department of Transportation </w:t>
      </w:r>
      <w:r w:rsidR="008961DC">
        <w:t>did not indentify</w:t>
      </w:r>
      <w:r>
        <w:t xml:space="preserve"> any H</w:t>
      </w:r>
      <w:r w:rsidR="00131B5E">
        <w:t xml:space="preserve">igh Crash Locations in Clifton; </w:t>
      </w:r>
      <w:r>
        <w:t xml:space="preserve">crash data shows the majority of crashes </w:t>
      </w:r>
      <w:r w:rsidR="00131B5E">
        <w:t>occur</w:t>
      </w:r>
      <w:r>
        <w:t xml:space="preserve"> along the Route 9 corridor, particularly in locations where the highway curves.</w:t>
      </w:r>
    </w:p>
    <w:p w14:paraId="7DC41C21" w14:textId="522CC283" w:rsidR="007B44B7" w:rsidRDefault="00131B5E" w:rsidP="007B44B7">
      <w:pPr>
        <w:spacing w:after="120"/>
      </w:pPr>
      <w:r>
        <w:tab/>
      </w:r>
      <w:r w:rsidR="007B44B7">
        <w:t xml:space="preserve">The Town considers the intersection of Clewley Hill Road and Rebel Hill (Route 180) to be a hazardous stretch of road due to no shoulders, </w:t>
      </w:r>
      <w:r>
        <w:t xml:space="preserve">seasonal </w:t>
      </w:r>
      <w:r w:rsidR="007B44B7">
        <w:t xml:space="preserve">drainage issues, and ice problems. </w:t>
      </w:r>
      <w:r>
        <w:t xml:space="preserve"> </w:t>
      </w:r>
      <w:r w:rsidR="007B44B7">
        <w:t xml:space="preserve">In addition, the Town considers all intersections with Airline Road (Route 9) to be potentially hazardous </w:t>
      </w:r>
      <w:r>
        <w:t>for left turning vehicles (on-coming traffic lane crossing)</w:t>
      </w:r>
      <w:r w:rsidR="007B44B7">
        <w:t>.</w:t>
      </w:r>
    </w:p>
    <w:p w14:paraId="7177FA6C" w14:textId="33904C5D" w:rsidR="007B44B7" w:rsidRPr="00602D22" w:rsidRDefault="00131B5E" w:rsidP="007B44B7">
      <w:pPr>
        <w:spacing w:after="120"/>
        <w:rPr>
          <w:u w:val="single"/>
        </w:rPr>
      </w:pPr>
      <w:r w:rsidRPr="00602D22">
        <w:rPr>
          <w:u w:val="single"/>
        </w:rPr>
        <w:t>Road Condition</w:t>
      </w:r>
    </w:p>
    <w:p w14:paraId="22CEF779" w14:textId="41CE6B65" w:rsidR="007B44B7" w:rsidRDefault="00131B5E" w:rsidP="007B44B7">
      <w:pPr>
        <w:spacing w:after="120"/>
      </w:pPr>
      <w:r>
        <w:tab/>
      </w:r>
      <w:r w:rsidR="007B44B7">
        <w:t>MaineDOT rated state highways with respect to physical condition in 2014 based on:</w:t>
      </w:r>
    </w:p>
    <w:p w14:paraId="78F8A8B5" w14:textId="77777777" w:rsidR="007B44B7" w:rsidRDefault="007B44B7" w:rsidP="00602D22">
      <w:r>
        <w:t>•</w:t>
      </w:r>
      <w:r>
        <w:tab/>
        <w:t>Pavement Condition</w:t>
      </w:r>
    </w:p>
    <w:p w14:paraId="766D1A17" w14:textId="77777777" w:rsidR="007B44B7" w:rsidRDefault="007B44B7" w:rsidP="00602D22">
      <w:r>
        <w:t>•</w:t>
      </w:r>
      <w:r>
        <w:tab/>
        <w:t>Ride Quality</w:t>
      </w:r>
    </w:p>
    <w:p w14:paraId="528EEBC0" w14:textId="77777777" w:rsidR="007B44B7" w:rsidRDefault="007B44B7" w:rsidP="00602D22">
      <w:r>
        <w:t>•</w:t>
      </w:r>
      <w:r>
        <w:tab/>
        <w:t>Roadway Strength</w:t>
      </w:r>
    </w:p>
    <w:p w14:paraId="52DF2986" w14:textId="559689CC" w:rsidR="007B44B7" w:rsidRDefault="007B44B7" w:rsidP="00602D22">
      <w:r>
        <w:t>•</w:t>
      </w:r>
      <w:r>
        <w:tab/>
        <w:t>Structure of Bridges</w:t>
      </w:r>
    </w:p>
    <w:p w14:paraId="5648E7C0" w14:textId="21C5B4FC" w:rsidR="007B44B7" w:rsidRDefault="00131B5E" w:rsidP="00602D22">
      <w:pPr>
        <w:spacing w:before="120" w:after="120"/>
      </w:pPr>
      <w:r>
        <w:t xml:space="preserve">Route 9 received </w:t>
      </w:r>
      <w:r w:rsidR="007B44B7">
        <w:t xml:space="preserve">an A </w:t>
      </w:r>
      <w:r>
        <w:t xml:space="preserve">rating </w:t>
      </w:r>
      <w:r w:rsidR="007B44B7">
        <w:t>from the Eddington Town line to Getchell Road</w:t>
      </w:r>
      <w:r w:rsidR="00A33C56">
        <w:t xml:space="preserve"> (intersection with Route 180)</w:t>
      </w:r>
      <w:r>
        <w:t>;</w:t>
      </w:r>
      <w:r w:rsidR="007B44B7">
        <w:t xml:space="preserve"> a C to </w:t>
      </w:r>
      <w:r w:rsidR="00A33C56">
        <w:t xml:space="preserve">the </w:t>
      </w:r>
      <w:r w:rsidR="007B44B7">
        <w:t xml:space="preserve">McCutcheon Road </w:t>
      </w:r>
      <w:r w:rsidR="00A33C56">
        <w:t xml:space="preserve">(just west of the Baptist Church) due structural bridge concern over Parks Pond Brook; </w:t>
      </w:r>
      <w:r w:rsidR="007B44B7">
        <w:t xml:space="preserve">an A to the Chick Hill Road and a B </w:t>
      </w:r>
      <w:r w:rsidR="00A33C56">
        <w:t xml:space="preserve">from there </w:t>
      </w:r>
      <w:r w:rsidR="007B44B7">
        <w:t xml:space="preserve">to the Amherst town line (pavement condition concern).  Route 180 received an A from Route 9 to Woodchuck Hill Road, then a B to the Otis town line (ride quality). </w:t>
      </w:r>
    </w:p>
    <w:p w14:paraId="3107D564" w14:textId="77777777" w:rsidR="00BE720B" w:rsidRDefault="00BE720B" w:rsidP="007B44B7">
      <w:pPr>
        <w:spacing w:after="120"/>
        <w:rPr>
          <w:b/>
        </w:rPr>
      </w:pPr>
    </w:p>
    <w:p w14:paraId="1F5E03F3" w14:textId="38BCDD1F" w:rsidR="007B44B7" w:rsidRPr="0038110A" w:rsidRDefault="007B44B7" w:rsidP="007B44B7">
      <w:pPr>
        <w:spacing w:after="120"/>
        <w:rPr>
          <w:b/>
          <w:u w:val="single"/>
        </w:rPr>
      </w:pPr>
      <w:r w:rsidRPr="0038110A">
        <w:rPr>
          <w:b/>
          <w:u w:val="single"/>
        </w:rPr>
        <w:t>ACCESS ISSUES ALONG CLIFTON’S ROUTE 9 CORRIDOR</w:t>
      </w:r>
    </w:p>
    <w:p w14:paraId="0F7E5D73" w14:textId="3E9F379F" w:rsidR="007B44B7" w:rsidRDefault="00A33C56" w:rsidP="007B44B7">
      <w:pPr>
        <w:spacing w:after="120"/>
      </w:pPr>
      <w:r>
        <w:tab/>
        <w:t>Over the</w:t>
      </w:r>
      <w:r w:rsidR="007B44B7">
        <w:t xml:space="preserve"> next ten to twenty years </w:t>
      </w:r>
      <w:r>
        <w:t xml:space="preserve">the Census Bureau predicts </w:t>
      </w:r>
      <w:r w:rsidR="007B44B7">
        <w:t xml:space="preserve">Clifton’s population </w:t>
      </w:r>
      <w:r>
        <w:t>will d</w:t>
      </w:r>
      <w:r w:rsidR="007B44B7">
        <w:t>ecline due to aging and low</w:t>
      </w:r>
      <w:r>
        <w:t>er</w:t>
      </w:r>
      <w:r w:rsidR="007B44B7">
        <w:t xml:space="preserve"> birth rates. </w:t>
      </w:r>
      <w:r>
        <w:t xml:space="preserve"> </w:t>
      </w:r>
      <w:r w:rsidR="007B44B7">
        <w:t xml:space="preserve">The long anticipated I-395 connector </w:t>
      </w:r>
      <w:r w:rsidR="00302E08">
        <w:t>is starting construction in 2019 and will likely</w:t>
      </w:r>
      <w:r w:rsidR="007B44B7">
        <w:t xml:space="preserve"> increase in through traffic</w:t>
      </w:r>
      <w:r w:rsidR="00302E08">
        <w:t xml:space="preserve"> – </w:t>
      </w:r>
      <w:r w:rsidR="003D45B8">
        <w:t>possibly</w:t>
      </w:r>
      <w:r w:rsidR="00302E08">
        <w:t xml:space="preserve"> by 2,000 cars per day</w:t>
      </w:r>
      <w:r w:rsidR="007B44B7">
        <w:t>. Clifton may also attract more outdoor and recreational enthusiasts as summer residents and day visitors</w:t>
      </w:r>
      <w:r w:rsidR="00302E08">
        <w:t xml:space="preserve"> particularly if the town begins to aggressively market itself as a destination location for these activities.  </w:t>
      </w:r>
      <w:r w:rsidR="007B44B7">
        <w:t xml:space="preserve">Local trips may decrease with a smaller and older population. </w:t>
      </w:r>
      <w:r w:rsidR="00302E08">
        <w:t xml:space="preserve"> </w:t>
      </w:r>
      <w:r w:rsidR="007B44B7">
        <w:t xml:space="preserve">Through traffic may increase in volume, vehicle size and speed through Clifton. </w:t>
      </w:r>
      <w:r w:rsidR="00302E08">
        <w:t xml:space="preserve"> </w:t>
      </w:r>
      <w:r w:rsidR="007B44B7">
        <w:t xml:space="preserve">At the present time Clifton has a level of service rating of A, and no high crash locations or other major safety issues. </w:t>
      </w:r>
      <w:r w:rsidR="00302E08">
        <w:t xml:space="preserve"> </w:t>
      </w:r>
      <w:r w:rsidR="007B44B7">
        <w:t xml:space="preserve">However safety issues may develop as traffic levels rise along the Route 9 corridor. </w:t>
      </w:r>
    </w:p>
    <w:p w14:paraId="3D30F438" w14:textId="05E96B3D" w:rsidR="007B44B7" w:rsidRDefault="00302E08" w:rsidP="007B44B7">
      <w:pPr>
        <w:spacing w:after="120"/>
      </w:pPr>
      <w:r>
        <w:tab/>
        <w:t xml:space="preserve">Despite overall decreases in population, there may be concentrations where the population will increase particularly on roads accessing dwellings along the ponds.  It is increasingly common to convert </w:t>
      </w:r>
      <w:r w:rsidR="007B44B7">
        <w:t xml:space="preserve">seasonal housing to year- round residences. </w:t>
      </w:r>
      <w:r w:rsidR="003D45B8">
        <w:t xml:space="preserve"> L</w:t>
      </w:r>
      <w:r w:rsidR="007B44B7">
        <w:t xml:space="preserve">ocal roads such as Scott Point Road, Getchell Road, Mill Lane, and Bruckoff Road will generate heavier year-round traffic. </w:t>
      </w:r>
      <w:r w:rsidR="003D45B8">
        <w:t xml:space="preserve"> </w:t>
      </w:r>
      <w:r w:rsidR="007B44B7">
        <w:t>At this time left-hand turns onto some of the</w:t>
      </w:r>
      <w:r w:rsidR="003D45B8">
        <w:t xml:space="preserve">se roads is not a safety issue; </w:t>
      </w:r>
      <w:r w:rsidR="007B44B7">
        <w:t xml:space="preserve">with the potential of increased traffic </w:t>
      </w:r>
      <w:r w:rsidR="003D45B8">
        <w:t xml:space="preserve">they </w:t>
      </w:r>
      <w:r w:rsidR="007B44B7">
        <w:t xml:space="preserve">could become a safety concern. </w:t>
      </w:r>
      <w:r w:rsidR="003D45B8">
        <w:t xml:space="preserve"> S</w:t>
      </w:r>
      <w:r w:rsidR="007B44B7">
        <w:t>ome of these intersections and others may have marginal sight distances for the posted speed and traffic volume.</w:t>
      </w:r>
    </w:p>
    <w:p w14:paraId="1A15D7FF" w14:textId="1B38FCDC" w:rsidR="007B44B7" w:rsidRDefault="0083259F" w:rsidP="007B44B7">
      <w:pPr>
        <w:spacing w:after="120"/>
      </w:pPr>
      <w:r w:rsidRPr="00602D22">
        <w:rPr>
          <w:noProof/>
          <w:highlight w:val="yellow"/>
        </w:rPr>
        <w:drawing>
          <wp:anchor distT="0" distB="0" distL="114300" distR="114300" simplePos="0" relativeHeight="251659264" behindDoc="0" locked="0" layoutInCell="1" allowOverlap="1" wp14:anchorId="5794DC7C" wp14:editId="21FABECF">
            <wp:simplePos x="0" y="0"/>
            <wp:positionH relativeFrom="column">
              <wp:posOffset>2286000</wp:posOffset>
            </wp:positionH>
            <wp:positionV relativeFrom="paragraph">
              <wp:posOffset>596265</wp:posOffset>
            </wp:positionV>
            <wp:extent cx="3535045" cy="2809875"/>
            <wp:effectExtent l="0" t="0" r="0" b="9525"/>
            <wp:wrapSquare wrapText="bothSides"/>
            <wp:docPr id="7" name="Picture 7" descr="http://www.maine.gov/mdot/projects/I395rt9connector/_assets/img/m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ne.gov/mdot/projects/I395rt9connector/_assets/img/ma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504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3D45B8">
        <w:t>Once the I</w:t>
      </w:r>
      <w:r>
        <w:t>-</w:t>
      </w:r>
      <w:r w:rsidR="003D45B8">
        <w:t>395</w:t>
      </w:r>
      <w:r>
        <w:t xml:space="preserve"> Connector is complete in 2020, its junction with Route 9 will be in </w:t>
      </w:r>
      <w:r w:rsidR="007B44B7">
        <w:t xml:space="preserve">Eddington approximately four miles </w:t>
      </w:r>
      <w:r>
        <w:t>we</w:t>
      </w:r>
      <w:r w:rsidR="007B44B7">
        <w:t xml:space="preserve">st of the Clifton town line. </w:t>
      </w:r>
      <w:r>
        <w:t xml:space="preserve"> </w:t>
      </w:r>
      <w:r w:rsidR="007B44B7">
        <w:t xml:space="preserve">Commercial vehicle traffic on Route 9 through Clifton </w:t>
      </w:r>
      <w:r w:rsidR="007605E8">
        <w:t>will</w:t>
      </w:r>
      <w:r w:rsidR="007B44B7">
        <w:t xml:space="preserve"> increase. However, the speed these and other vehicles travel will be a function of volume, congestion and driver comfort. Additional traffic may impact services to Clifton residents such as school bus routes, mail delivery, trash collection, and emergency services. </w:t>
      </w:r>
      <w:r w:rsidR="007605E8">
        <w:t xml:space="preserve"> </w:t>
      </w:r>
      <w:r w:rsidR="007B44B7">
        <w:t xml:space="preserve">Access management and land use planning at the new interchange may mitigate added congestion on Route 9.  The town is unaware of any projections about how additional traffic resulting from the </w:t>
      </w:r>
      <w:r w:rsidR="007605E8">
        <w:t>I-</w:t>
      </w:r>
      <w:r w:rsidR="007B44B7">
        <w:t xml:space="preserve">395 connector may impact </w:t>
      </w:r>
      <w:r w:rsidR="007605E8">
        <w:t xml:space="preserve">specific </w:t>
      </w:r>
      <w:r w:rsidR="007B44B7">
        <w:t>organizations or businesses with Route 9 access.</w:t>
      </w:r>
      <w:r w:rsidRPr="0083259F">
        <w:rPr>
          <w:noProof/>
          <w:highlight w:val="yellow"/>
        </w:rPr>
        <w:t xml:space="preserve"> </w:t>
      </w:r>
    </w:p>
    <w:p w14:paraId="530C0855" w14:textId="77777777" w:rsidR="007B44B7" w:rsidRDefault="007B44B7" w:rsidP="007B44B7">
      <w:pPr>
        <w:spacing w:after="120"/>
      </w:pPr>
    </w:p>
    <w:p w14:paraId="5181C2F1" w14:textId="4AE7EF34" w:rsidR="007B44B7" w:rsidRDefault="007605E8" w:rsidP="007B44B7">
      <w:pPr>
        <w:spacing w:after="120"/>
      </w:pPr>
      <w:r>
        <w:tab/>
      </w:r>
      <w:r w:rsidR="007B44B7">
        <w:t xml:space="preserve">Promotion of the recreational use of Clifton’s natural resources may result in an increase in traffic to the trailheads and lakes within town. </w:t>
      </w:r>
      <w:r>
        <w:t xml:space="preserve"> </w:t>
      </w:r>
      <w:r w:rsidR="007B44B7">
        <w:t xml:space="preserve">Most of these areas are </w:t>
      </w:r>
      <w:r>
        <w:t xml:space="preserve">accessed via rural local roads </w:t>
      </w:r>
      <w:r w:rsidR="007B44B7">
        <w:t xml:space="preserve">with the exception of Parks Pond Bluff Trail Head accessed </w:t>
      </w:r>
      <w:r>
        <w:t>directly from</w:t>
      </w:r>
      <w:r w:rsidR="007B44B7">
        <w:t xml:space="preserve"> Route 9</w:t>
      </w:r>
      <w:r>
        <w:t xml:space="preserve"> – with almost no parking room on a curvy knoll with poor sight distances</w:t>
      </w:r>
      <w:r w:rsidR="007B44B7">
        <w:t xml:space="preserve">. </w:t>
      </w:r>
      <w:r>
        <w:t xml:space="preserve"> There is also the potential for recreational </w:t>
      </w:r>
      <w:r w:rsidR="007B44B7">
        <w:t xml:space="preserve">bicycle traffic </w:t>
      </w:r>
      <w:r>
        <w:t>to increase in the future associated with recreation.</w:t>
      </w:r>
    </w:p>
    <w:p w14:paraId="7A2075E2" w14:textId="3ED06C0B" w:rsidR="007B44B7" w:rsidRDefault="007605E8" w:rsidP="007B44B7">
      <w:pPr>
        <w:spacing w:after="120"/>
      </w:pPr>
      <w:r>
        <w:tab/>
      </w:r>
      <w:r w:rsidR="007B44B7">
        <w:t>The Town will work with the MaineDOT on corridor planning in order to address some of these issues. The Town may request assistance from MDOT to perform a safety analysis of all intersections with Route 9; develop trailhead access/parking along Route 9; research how bicycle traffic may be encouraged without endangering the cyclists or motorists. The Town will request MaineDOT to indicate how current and future traffic flows may be affected by the I-395 connector and what impact traffic flow changes will have on current businesses and services available in Clifton.</w:t>
      </w:r>
    </w:p>
    <w:p w14:paraId="410E1B26" w14:textId="35746224" w:rsidR="007B44B7" w:rsidRPr="0038110A" w:rsidRDefault="007B44B7" w:rsidP="007B44B7">
      <w:pPr>
        <w:spacing w:after="120"/>
        <w:rPr>
          <w:u w:val="single"/>
        </w:rPr>
      </w:pPr>
      <w:r w:rsidRPr="0038110A">
        <w:rPr>
          <w:b/>
          <w:u w:val="single"/>
        </w:rPr>
        <w:t>BRIDGES AND CULVERTS</w:t>
      </w:r>
    </w:p>
    <w:p w14:paraId="553455D9" w14:textId="307CCF96" w:rsidR="007B44B7" w:rsidRDefault="007B44B7" w:rsidP="009D3785">
      <w:pPr>
        <w:spacing w:after="120"/>
        <w:ind w:firstLine="720"/>
      </w:pPr>
      <w:r>
        <w:t xml:space="preserve">There are three bridges in Clifton, all owned and maintained by the State. </w:t>
      </w:r>
      <w:r w:rsidR="00602D22">
        <w:t xml:space="preserve"> </w:t>
      </w:r>
      <w:r>
        <w:t>The Table below describes the bridges.  Map 10-5 shows the location of bridges in the town of Clifton.</w:t>
      </w:r>
    </w:p>
    <w:tbl>
      <w:tblPr>
        <w:tblW w:w="9360" w:type="dxa"/>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4"/>
        <w:gridCol w:w="900"/>
        <w:gridCol w:w="720"/>
        <w:gridCol w:w="900"/>
        <w:gridCol w:w="1170"/>
        <w:gridCol w:w="1350"/>
        <w:gridCol w:w="1350"/>
        <w:gridCol w:w="1266"/>
      </w:tblGrid>
      <w:tr w:rsidR="00F07465" w:rsidRPr="00F949F0" w14:paraId="0093C795" w14:textId="19D61B0D" w:rsidTr="00F07465">
        <w:trPr>
          <w:trHeight w:val="260"/>
        </w:trPr>
        <w:tc>
          <w:tcPr>
            <w:tcW w:w="9360" w:type="dxa"/>
            <w:gridSpan w:val="8"/>
            <w:tcBorders>
              <w:top w:val="single" w:sz="6" w:space="0" w:color="000000"/>
              <w:left w:val="single" w:sz="6" w:space="0" w:color="000000"/>
              <w:bottom w:val="single" w:sz="6" w:space="0" w:color="000000"/>
              <w:right w:val="single" w:sz="6" w:space="0" w:color="000000"/>
            </w:tcBorders>
            <w:shd w:val="clear" w:color="auto" w:fill="CCFFCC"/>
            <w:hideMark/>
          </w:tcPr>
          <w:p w14:paraId="45D89126" w14:textId="659DBC02" w:rsidR="00F07465" w:rsidRPr="009D3785" w:rsidRDefault="00F07465">
            <w:pPr>
              <w:pStyle w:val="TableParagraph"/>
              <w:spacing w:line="255" w:lineRule="exact"/>
              <w:ind w:left="2351"/>
              <w:rPr>
                <w:rFonts w:asciiTheme="majorHAnsi" w:hAnsiTheme="majorHAnsi" w:cstheme="majorHAnsi"/>
                <w:b/>
                <w:sz w:val="20"/>
                <w:szCs w:val="20"/>
              </w:rPr>
            </w:pPr>
            <w:r w:rsidRPr="009D3785">
              <w:rPr>
                <w:rFonts w:asciiTheme="majorHAnsi" w:hAnsiTheme="majorHAnsi" w:cstheme="majorHAnsi"/>
                <w:b/>
                <w:sz w:val="20"/>
                <w:szCs w:val="20"/>
              </w:rPr>
              <w:t>TOWN OF CLIFTON BRIDGE INVENTORY</w:t>
            </w:r>
          </w:p>
        </w:tc>
      </w:tr>
      <w:tr w:rsidR="00936DE0" w:rsidRPr="00F949F0" w14:paraId="3CB706DE" w14:textId="204526F7" w:rsidTr="0038110A">
        <w:trPr>
          <w:trHeight w:val="561"/>
        </w:trPr>
        <w:tc>
          <w:tcPr>
            <w:tcW w:w="1704" w:type="dxa"/>
            <w:tcBorders>
              <w:top w:val="single" w:sz="6" w:space="0" w:color="000000"/>
              <w:left w:val="single" w:sz="6" w:space="0" w:color="000000"/>
              <w:bottom w:val="single" w:sz="6" w:space="0" w:color="000000"/>
              <w:right w:val="single" w:sz="6" w:space="0" w:color="000000"/>
            </w:tcBorders>
            <w:shd w:val="clear" w:color="auto" w:fill="CCFFCC"/>
            <w:hideMark/>
          </w:tcPr>
          <w:p w14:paraId="405C4917" w14:textId="77777777" w:rsidR="00F07465" w:rsidRPr="009D3785" w:rsidRDefault="00F07465">
            <w:pPr>
              <w:pStyle w:val="TableParagraph"/>
              <w:spacing w:line="240" w:lineRule="auto"/>
              <w:ind w:left="494"/>
              <w:rPr>
                <w:rFonts w:asciiTheme="majorHAnsi" w:hAnsiTheme="majorHAnsi" w:cstheme="majorHAnsi"/>
                <w:b/>
                <w:sz w:val="20"/>
                <w:szCs w:val="20"/>
              </w:rPr>
            </w:pPr>
            <w:r w:rsidRPr="009D3785">
              <w:rPr>
                <w:rFonts w:asciiTheme="majorHAnsi" w:hAnsiTheme="majorHAnsi" w:cstheme="majorHAnsi"/>
                <w:b/>
                <w:sz w:val="20"/>
                <w:szCs w:val="20"/>
              </w:rPr>
              <w:t>Bridge Name</w:t>
            </w:r>
          </w:p>
        </w:tc>
        <w:tc>
          <w:tcPr>
            <w:tcW w:w="900" w:type="dxa"/>
            <w:tcBorders>
              <w:top w:val="single" w:sz="6" w:space="0" w:color="000000"/>
              <w:left w:val="single" w:sz="6" w:space="0" w:color="000000"/>
              <w:bottom w:val="single" w:sz="6" w:space="0" w:color="000000"/>
              <w:right w:val="single" w:sz="6" w:space="0" w:color="000000"/>
            </w:tcBorders>
            <w:shd w:val="clear" w:color="auto" w:fill="CCFFCC"/>
            <w:hideMark/>
          </w:tcPr>
          <w:p w14:paraId="2F6CC668" w14:textId="77777777" w:rsidR="00F07465" w:rsidRPr="009D3785" w:rsidRDefault="00F07465">
            <w:pPr>
              <w:pStyle w:val="TableParagraph"/>
              <w:spacing w:line="240" w:lineRule="auto"/>
              <w:ind w:left="105" w:right="86" w:firstLine="80"/>
              <w:rPr>
                <w:rFonts w:asciiTheme="majorHAnsi" w:hAnsiTheme="majorHAnsi" w:cstheme="majorHAnsi"/>
                <w:b/>
                <w:sz w:val="20"/>
                <w:szCs w:val="20"/>
              </w:rPr>
            </w:pPr>
            <w:r w:rsidRPr="009D3785">
              <w:rPr>
                <w:rFonts w:asciiTheme="majorHAnsi" w:hAnsiTheme="majorHAnsi" w:cstheme="majorHAnsi"/>
                <w:b/>
                <w:sz w:val="20"/>
                <w:szCs w:val="20"/>
              </w:rPr>
              <w:t>Bridge Number</w:t>
            </w:r>
          </w:p>
        </w:tc>
        <w:tc>
          <w:tcPr>
            <w:tcW w:w="720" w:type="dxa"/>
            <w:tcBorders>
              <w:top w:val="single" w:sz="6" w:space="0" w:color="000000"/>
              <w:left w:val="single" w:sz="6" w:space="0" w:color="000000"/>
              <w:bottom w:val="single" w:sz="6" w:space="0" w:color="000000"/>
              <w:right w:val="single" w:sz="6" w:space="0" w:color="000000"/>
            </w:tcBorders>
            <w:shd w:val="clear" w:color="auto" w:fill="CCFFCC"/>
            <w:hideMark/>
          </w:tcPr>
          <w:p w14:paraId="7B045AEB" w14:textId="77777777" w:rsidR="00F07465" w:rsidRPr="009D3785" w:rsidRDefault="00F07465">
            <w:pPr>
              <w:pStyle w:val="TableParagraph"/>
              <w:spacing w:line="240" w:lineRule="auto"/>
              <w:ind w:left="143" w:right="125"/>
              <w:rPr>
                <w:rFonts w:asciiTheme="majorHAnsi" w:hAnsiTheme="majorHAnsi" w:cstheme="majorHAnsi"/>
                <w:b/>
                <w:sz w:val="20"/>
                <w:szCs w:val="20"/>
              </w:rPr>
            </w:pPr>
            <w:r w:rsidRPr="009D3785">
              <w:rPr>
                <w:rFonts w:asciiTheme="majorHAnsi" w:hAnsiTheme="majorHAnsi" w:cstheme="majorHAnsi"/>
                <w:b/>
                <w:sz w:val="20"/>
                <w:szCs w:val="20"/>
              </w:rPr>
              <w:t>Year Built</w:t>
            </w:r>
          </w:p>
        </w:tc>
        <w:tc>
          <w:tcPr>
            <w:tcW w:w="900" w:type="dxa"/>
            <w:tcBorders>
              <w:top w:val="single" w:sz="6" w:space="0" w:color="000000"/>
              <w:left w:val="single" w:sz="6" w:space="0" w:color="000000"/>
              <w:bottom w:val="single" w:sz="6" w:space="0" w:color="000000"/>
              <w:right w:val="single" w:sz="6" w:space="0" w:color="000000"/>
            </w:tcBorders>
            <w:shd w:val="clear" w:color="auto" w:fill="CCFFCC"/>
            <w:hideMark/>
          </w:tcPr>
          <w:p w14:paraId="7120F316" w14:textId="77777777" w:rsidR="00F07465" w:rsidRPr="009D3785" w:rsidRDefault="00F07465">
            <w:pPr>
              <w:pStyle w:val="TableParagraph"/>
              <w:spacing w:line="240" w:lineRule="auto"/>
              <w:ind w:left="134"/>
              <w:rPr>
                <w:rFonts w:asciiTheme="majorHAnsi" w:hAnsiTheme="majorHAnsi" w:cstheme="majorHAnsi"/>
                <w:b/>
                <w:sz w:val="20"/>
                <w:szCs w:val="20"/>
              </w:rPr>
            </w:pPr>
            <w:r w:rsidRPr="009D3785">
              <w:rPr>
                <w:rFonts w:asciiTheme="majorHAnsi" w:hAnsiTheme="majorHAnsi" w:cstheme="majorHAnsi"/>
                <w:b/>
                <w:sz w:val="20"/>
                <w:szCs w:val="20"/>
              </w:rPr>
              <w:t>Owner</w:t>
            </w:r>
          </w:p>
        </w:tc>
        <w:tc>
          <w:tcPr>
            <w:tcW w:w="1170" w:type="dxa"/>
            <w:tcBorders>
              <w:top w:val="single" w:sz="6" w:space="0" w:color="000000"/>
              <w:left w:val="single" w:sz="6" w:space="0" w:color="000000"/>
              <w:bottom w:val="single" w:sz="6" w:space="0" w:color="000000"/>
              <w:right w:val="single" w:sz="6" w:space="0" w:color="000000"/>
            </w:tcBorders>
            <w:shd w:val="clear" w:color="auto" w:fill="CCFFCC"/>
            <w:hideMark/>
          </w:tcPr>
          <w:p w14:paraId="181A8DCD" w14:textId="77777777" w:rsidR="00F07465" w:rsidRPr="009D3785" w:rsidRDefault="00F07465">
            <w:pPr>
              <w:pStyle w:val="TableParagraph"/>
              <w:spacing w:line="240" w:lineRule="auto"/>
              <w:ind w:left="132" w:right="116" w:firstLine="307"/>
              <w:rPr>
                <w:rFonts w:asciiTheme="majorHAnsi" w:hAnsiTheme="majorHAnsi" w:cstheme="majorHAnsi"/>
                <w:b/>
                <w:sz w:val="20"/>
                <w:szCs w:val="20"/>
              </w:rPr>
            </w:pPr>
            <w:r w:rsidRPr="009D3785">
              <w:rPr>
                <w:rFonts w:asciiTheme="majorHAnsi" w:hAnsiTheme="majorHAnsi" w:cstheme="majorHAnsi"/>
                <w:b/>
                <w:sz w:val="20"/>
                <w:szCs w:val="20"/>
              </w:rPr>
              <w:t>Last Inspection</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CCFFCC"/>
            <w:hideMark/>
          </w:tcPr>
          <w:p w14:paraId="29E120E0" w14:textId="79034F93" w:rsidR="00F07465" w:rsidRPr="009D3785" w:rsidRDefault="00F07465" w:rsidP="009D3785">
            <w:pPr>
              <w:pStyle w:val="TableParagraph"/>
              <w:spacing w:line="270" w:lineRule="exact"/>
              <w:ind w:left="243" w:right="224" w:firstLine="207"/>
              <w:rPr>
                <w:rFonts w:asciiTheme="majorHAnsi" w:hAnsiTheme="majorHAnsi" w:cstheme="majorHAnsi"/>
                <w:b/>
                <w:sz w:val="20"/>
                <w:szCs w:val="20"/>
              </w:rPr>
            </w:pPr>
            <w:r w:rsidRPr="009D3785">
              <w:rPr>
                <w:rFonts w:asciiTheme="majorHAnsi" w:hAnsiTheme="majorHAnsi" w:cstheme="majorHAnsi"/>
                <w:b/>
                <w:sz w:val="20"/>
                <w:szCs w:val="20"/>
              </w:rPr>
              <w:t>Condition</w:t>
            </w:r>
          </w:p>
        </w:tc>
        <w:tc>
          <w:tcPr>
            <w:tcW w:w="1266" w:type="dxa"/>
            <w:tcBorders>
              <w:top w:val="single" w:sz="6" w:space="0" w:color="000000"/>
              <w:left w:val="single" w:sz="6" w:space="0" w:color="000000"/>
              <w:bottom w:val="single" w:sz="6" w:space="0" w:color="000000"/>
              <w:right w:val="single" w:sz="6" w:space="0" w:color="000000"/>
            </w:tcBorders>
            <w:shd w:val="clear" w:color="auto" w:fill="CCFFCC"/>
          </w:tcPr>
          <w:p w14:paraId="17F48223" w14:textId="263B83BF" w:rsidR="00F07465" w:rsidRPr="0038110A" w:rsidRDefault="00936DE0" w:rsidP="0038110A">
            <w:pPr>
              <w:pStyle w:val="TableParagraph"/>
              <w:spacing w:line="270" w:lineRule="exact"/>
              <w:ind w:left="198" w:right="179" w:hanging="18"/>
              <w:rPr>
                <w:rFonts w:asciiTheme="majorHAnsi" w:hAnsiTheme="majorHAnsi" w:cstheme="majorHAnsi"/>
                <w:b/>
                <w:sz w:val="18"/>
                <w:szCs w:val="18"/>
              </w:rPr>
            </w:pPr>
            <w:r w:rsidRPr="00F90966">
              <w:rPr>
                <w:rFonts w:asciiTheme="majorHAnsi" w:hAnsiTheme="majorHAnsi" w:cstheme="majorHAnsi"/>
                <w:b/>
                <w:sz w:val="18"/>
                <w:szCs w:val="18"/>
              </w:rPr>
              <w:t xml:space="preserve">Fed </w:t>
            </w:r>
            <w:r w:rsidR="00F90966" w:rsidRPr="00F90966">
              <w:rPr>
                <w:rFonts w:asciiTheme="majorHAnsi" w:hAnsiTheme="majorHAnsi" w:cstheme="majorHAnsi"/>
                <w:b/>
                <w:sz w:val="18"/>
                <w:szCs w:val="18"/>
              </w:rPr>
              <w:t xml:space="preserve">Sufficiency </w:t>
            </w:r>
            <w:r w:rsidRPr="00F90966">
              <w:rPr>
                <w:rFonts w:asciiTheme="majorHAnsi" w:hAnsiTheme="majorHAnsi" w:cstheme="majorHAnsi"/>
                <w:b/>
                <w:sz w:val="18"/>
                <w:szCs w:val="18"/>
              </w:rPr>
              <w:t>Rating</w:t>
            </w:r>
          </w:p>
        </w:tc>
      </w:tr>
      <w:tr w:rsidR="00936DE0" w:rsidRPr="00F949F0" w14:paraId="1A6B65E4" w14:textId="1A31393B" w:rsidTr="0038110A">
        <w:trPr>
          <w:trHeight w:val="102"/>
        </w:trPr>
        <w:tc>
          <w:tcPr>
            <w:tcW w:w="1704" w:type="dxa"/>
            <w:vMerge w:val="restart"/>
            <w:tcBorders>
              <w:top w:val="single" w:sz="6" w:space="0" w:color="000000"/>
              <w:left w:val="single" w:sz="6" w:space="0" w:color="000000"/>
              <w:right w:val="single" w:sz="6" w:space="0" w:color="000000"/>
            </w:tcBorders>
            <w:hideMark/>
          </w:tcPr>
          <w:p w14:paraId="548F5627" w14:textId="25C522ED" w:rsidR="00F07465" w:rsidRPr="009D3785" w:rsidRDefault="00F07465" w:rsidP="009D3785">
            <w:pPr>
              <w:pStyle w:val="TableParagraph"/>
              <w:spacing w:line="255" w:lineRule="exact"/>
              <w:ind w:left="100"/>
              <w:jc w:val="left"/>
              <w:rPr>
                <w:rFonts w:asciiTheme="majorHAnsi" w:hAnsiTheme="majorHAnsi" w:cstheme="majorHAnsi"/>
                <w:sz w:val="20"/>
                <w:szCs w:val="20"/>
              </w:rPr>
            </w:pPr>
            <w:r w:rsidRPr="009D3785">
              <w:rPr>
                <w:rFonts w:asciiTheme="majorHAnsi" w:hAnsiTheme="majorHAnsi" w:cstheme="majorHAnsi"/>
                <w:sz w:val="20"/>
                <w:szCs w:val="20"/>
              </w:rPr>
              <w:t>Lower Bridge</w:t>
            </w:r>
            <w:r>
              <w:rPr>
                <w:rFonts w:asciiTheme="majorHAnsi" w:hAnsiTheme="majorHAnsi" w:cstheme="majorHAnsi"/>
                <w:sz w:val="20"/>
                <w:szCs w:val="20"/>
              </w:rPr>
              <w:t xml:space="preserve"> (Parks Pond Brook; AKA Mill Stream</w:t>
            </w:r>
          </w:p>
        </w:tc>
        <w:tc>
          <w:tcPr>
            <w:tcW w:w="900" w:type="dxa"/>
            <w:vMerge w:val="restart"/>
            <w:tcBorders>
              <w:top w:val="single" w:sz="6" w:space="0" w:color="000000"/>
              <w:left w:val="single" w:sz="6" w:space="0" w:color="000000"/>
              <w:right w:val="single" w:sz="6" w:space="0" w:color="000000"/>
            </w:tcBorders>
            <w:vAlign w:val="center"/>
            <w:hideMark/>
          </w:tcPr>
          <w:p w14:paraId="19E8F867" w14:textId="77777777" w:rsidR="00F07465" w:rsidRPr="009D3785" w:rsidRDefault="00F07465">
            <w:pPr>
              <w:pStyle w:val="TableParagraph"/>
              <w:spacing w:line="255" w:lineRule="exact"/>
              <w:ind w:left="100"/>
              <w:rPr>
                <w:rFonts w:asciiTheme="majorHAnsi" w:hAnsiTheme="majorHAnsi" w:cstheme="majorHAnsi"/>
                <w:sz w:val="20"/>
                <w:szCs w:val="20"/>
              </w:rPr>
            </w:pPr>
            <w:r w:rsidRPr="009D3785">
              <w:rPr>
                <w:rFonts w:asciiTheme="majorHAnsi" w:hAnsiTheme="majorHAnsi" w:cstheme="majorHAnsi"/>
                <w:sz w:val="20"/>
                <w:szCs w:val="20"/>
              </w:rPr>
              <w:t>3522</w:t>
            </w:r>
          </w:p>
        </w:tc>
        <w:tc>
          <w:tcPr>
            <w:tcW w:w="720" w:type="dxa"/>
            <w:vMerge w:val="restart"/>
            <w:tcBorders>
              <w:top w:val="single" w:sz="6" w:space="0" w:color="000000"/>
              <w:left w:val="single" w:sz="6" w:space="0" w:color="000000"/>
              <w:right w:val="single" w:sz="6" w:space="0" w:color="000000"/>
            </w:tcBorders>
            <w:vAlign w:val="center"/>
            <w:hideMark/>
          </w:tcPr>
          <w:p w14:paraId="198E3FEB" w14:textId="77777777" w:rsidR="00F07465" w:rsidRPr="009D3785" w:rsidRDefault="00F07465">
            <w:pPr>
              <w:pStyle w:val="TableParagraph"/>
              <w:spacing w:line="255" w:lineRule="exact"/>
              <w:ind w:left="100"/>
              <w:rPr>
                <w:rFonts w:asciiTheme="majorHAnsi" w:hAnsiTheme="majorHAnsi" w:cstheme="majorHAnsi"/>
                <w:sz w:val="20"/>
                <w:szCs w:val="20"/>
              </w:rPr>
            </w:pPr>
            <w:r w:rsidRPr="009D3785">
              <w:rPr>
                <w:rFonts w:asciiTheme="majorHAnsi" w:hAnsiTheme="majorHAnsi" w:cstheme="majorHAnsi"/>
                <w:sz w:val="20"/>
                <w:szCs w:val="20"/>
              </w:rPr>
              <w:t>1929</w:t>
            </w:r>
          </w:p>
        </w:tc>
        <w:tc>
          <w:tcPr>
            <w:tcW w:w="900" w:type="dxa"/>
            <w:vMerge w:val="restart"/>
            <w:tcBorders>
              <w:top w:val="single" w:sz="6" w:space="0" w:color="000000"/>
              <w:left w:val="single" w:sz="6" w:space="0" w:color="000000"/>
              <w:right w:val="single" w:sz="6" w:space="0" w:color="000000"/>
            </w:tcBorders>
            <w:vAlign w:val="center"/>
            <w:hideMark/>
          </w:tcPr>
          <w:p w14:paraId="0136CC34" w14:textId="77777777" w:rsidR="00F07465" w:rsidRPr="009D3785" w:rsidRDefault="00F07465">
            <w:pPr>
              <w:pStyle w:val="TableParagraph"/>
              <w:spacing w:line="255" w:lineRule="exact"/>
              <w:ind w:left="100"/>
              <w:rPr>
                <w:rFonts w:asciiTheme="majorHAnsi" w:hAnsiTheme="majorHAnsi" w:cstheme="majorHAnsi"/>
                <w:sz w:val="20"/>
                <w:szCs w:val="20"/>
              </w:rPr>
            </w:pPr>
            <w:r w:rsidRPr="009D3785">
              <w:rPr>
                <w:rFonts w:asciiTheme="majorHAnsi" w:hAnsiTheme="majorHAnsi" w:cstheme="majorHAnsi"/>
                <w:sz w:val="20"/>
                <w:szCs w:val="20"/>
              </w:rPr>
              <w:t>MDOT</w:t>
            </w:r>
          </w:p>
        </w:tc>
        <w:tc>
          <w:tcPr>
            <w:tcW w:w="1170" w:type="dxa"/>
            <w:vMerge w:val="restart"/>
            <w:tcBorders>
              <w:top w:val="single" w:sz="6" w:space="0" w:color="000000"/>
              <w:left w:val="single" w:sz="6" w:space="0" w:color="000000"/>
              <w:right w:val="single" w:sz="6" w:space="0" w:color="000000"/>
            </w:tcBorders>
            <w:vAlign w:val="center"/>
          </w:tcPr>
          <w:p w14:paraId="2E44925A" w14:textId="4AF62262" w:rsidR="00F07465" w:rsidRPr="009D3785" w:rsidRDefault="00F07465">
            <w:pPr>
              <w:pStyle w:val="TableParagraph"/>
              <w:spacing w:line="255" w:lineRule="exact"/>
              <w:ind w:left="100"/>
              <w:rPr>
                <w:rFonts w:asciiTheme="majorHAnsi" w:hAnsiTheme="majorHAnsi" w:cstheme="majorHAnsi"/>
                <w:sz w:val="20"/>
                <w:szCs w:val="20"/>
              </w:rPr>
            </w:pPr>
            <w:r>
              <w:rPr>
                <w:rFonts w:asciiTheme="majorHAnsi" w:hAnsiTheme="majorHAnsi" w:cstheme="majorHAnsi"/>
                <w:sz w:val="20"/>
                <w:szCs w:val="20"/>
              </w:rPr>
              <w:t>11/29/2016</w:t>
            </w:r>
          </w:p>
        </w:tc>
        <w:tc>
          <w:tcPr>
            <w:tcW w:w="1350" w:type="dxa"/>
            <w:tcBorders>
              <w:top w:val="single" w:sz="6" w:space="0" w:color="000000"/>
              <w:left w:val="single" w:sz="6" w:space="0" w:color="000000"/>
              <w:bottom w:val="single" w:sz="6" w:space="0" w:color="000000"/>
              <w:right w:val="single" w:sz="6" w:space="0" w:color="000000"/>
            </w:tcBorders>
          </w:tcPr>
          <w:p w14:paraId="17AF47A9" w14:textId="646BABE0" w:rsidR="00F07465" w:rsidRPr="0038110A" w:rsidRDefault="00247D49" w:rsidP="0038110A">
            <w:pPr>
              <w:pStyle w:val="TableParagraph"/>
              <w:spacing w:line="255" w:lineRule="exact"/>
              <w:ind w:left="99"/>
              <w:jc w:val="left"/>
              <w:rPr>
                <w:rFonts w:asciiTheme="majorHAnsi" w:hAnsiTheme="majorHAnsi" w:cstheme="majorHAnsi"/>
                <w:sz w:val="18"/>
                <w:szCs w:val="18"/>
              </w:rPr>
            </w:pPr>
            <w:r w:rsidRPr="0038110A">
              <w:rPr>
                <w:rFonts w:asciiTheme="majorHAnsi" w:hAnsiTheme="majorHAnsi" w:cstheme="majorHAnsi"/>
                <w:sz w:val="18"/>
                <w:szCs w:val="18"/>
              </w:rPr>
              <w:t>Deck</w:t>
            </w:r>
          </w:p>
        </w:tc>
        <w:tc>
          <w:tcPr>
            <w:tcW w:w="1350" w:type="dxa"/>
            <w:tcBorders>
              <w:top w:val="single" w:sz="6" w:space="0" w:color="000000"/>
              <w:left w:val="single" w:sz="6" w:space="0" w:color="000000"/>
              <w:right w:val="single" w:sz="6" w:space="0" w:color="000000"/>
            </w:tcBorders>
          </w:tcPr>
          <w:p w14:paraId="3A5CEFE1" w14:textId="1303DBF0" w:rsidR="00F07465" w:rsidRPr="0038110A" w:rsidRDefault="00936DE0">
            <w:pPr>
              <w:pStyle w:val="TableParagraph"/>
              <w:spacing w:line="255" w:lineRule="exact"/>
              <w:ind w:left="99"/>
              <w:rPr>
                <w:rFonts w:asciiTheme="majorHAnsi" w:hAnsiTheme="majorHAnsi" w:cstheme="majorHAnsi"/>
                <w:sz w:val="18"/>
                <w:szCs w:val="18"/>
              </w:rPr>
            </w:pPr>
            <w:r w:rsidRPr="0038110A">
              <w:rPr>
                <w:rFonts w:asciiTheme="majorHAnsi" w:hAnsiTheme="majorHAnsi" w:cstheme="majorHAnsi"/>
                <w:sz w:val="18"/>
                <w:szCs w:val="18"/>
              </w:rPr>
              <w:t>Satisfactory (6)</w:t>
            </w:r>
          </w:p>
        </w:tc>
        <w:tc>
          <w:tcPr>
            <w:tcW w:w="1266" w:type="dxa"/>
            <w:vMerge w:val="restart"/>
            <w:tcBorders>
              <w:top w:val="single" w:sz="6" w:space="0" w:color="000000"/>
              <w:left w:val="single" w:sz="6" w:space="0" w:color="000000"/>
              <w:right w:val="single" w:sz="6" w:space="0" w:color="000000"/>
            </w:tcBorders>
            <w:vAlign w:val="center"/>
          </w:tcPr>
          <w:p w14:paraId="6D6D4EF8" w14:textId="1079B088" w:rsidR="00F07465" w:rsidRPr="009D3785" w:rsidRDefault="00936DE0">
            <w:pPr>
              <w:pStyle w:val="TableParagraph"/>
              <w:spacing w:line="255" w:lineRule="exact"/>
              <w:ind w:left="99"/>
              <w:rPr>
                <w:rFonts w:asciiTheme="majorHAnsi" w:hAnsiTheme="majorHAnsi" w:cstheme="majorHAnsi"/>
                <w:sz w:val="20"/>
                <w:szCs w:val="20"/>
              </w:rPr>
            </w:pPr>
            <w:r>
              <w:rPr>
                <w:rFonts w:asciiTheme="majorHAnsi" w:hAnsiTheme="majorHAnsi" w:cstheme="majorHAnsi"/>
                <w:sz w:val="20"/>
                <w:szCs w:val="20"/>
              </w:rPr>
              <w:t>61</w:t>
            </w:r>
          </w:p>
        </w:tc>
      </w:tr>
      <w:tr w:rsidR="00936DE0" w:rsidRPr="00F949F0" w14:paraId="1E9C5904" w14:textId="157B6553" w:rsidTr="0038110A">
        <w:trPr>
          <w:trHeight w:val="100"/>
        </w:trPr>
        <w:tc>
          <w:tcPr>
            <w:tcW w:w="1704" w:type="dxa"/>
            <w:vMerge/>
            <w:tcBorders>
              <w:left w:val="single" w:sz="6" w:space="0" w:color="000000"/>
              <w:right w:val="single" w:sz="6" w:space="0" w:color="000000"/>
            </w:tcBorders>
          </w:tcPr>
          <w:p w14:paraId="2F5D49BC" w14:textId="77777777" w:rsidR="00F07465" w:rsidRPr="009D3785" w:rsidRDefault="00F07465" w:rsidP="00062B38">
            <w:pPr>
              <w:pStyle w:val="TableParagraph"/>
              <w:spacing w:line="255" w:lineRule="exact"/>
              <w:ind w:left="100"/>
              <w:jc w:val="left"/>
              <w:rPr>
                <w:rFonts w:asciiTheme="majorHAnsi" w:hAnsiTheme="majorHAnsi" w:cstheme="majorHAnsi"/>
                <w:sz w:val="20"/>
                <w:szCs w:val="20"/>
              </w:rPr>
            </w:pPr>
          </w:p>
        </w:tc>
        <w:tc>
          <w:tcPr>
            <w:tcW w:w="900" w:type="dxa"/>
            <w:vMerge/>
            <w:tcBorders>
              <w:left w:val="single" w:sz="6" w:space="0" w:color="000000"/>
              <w:right w:val="single" w:sz="6" w:space="0" w:color="000000"/>
            </w:tcBorders>
            <w:vAlign w:val="center"/>
          </w:tcPr>
          <w:p w14:paraId="28E29028" w14:textId="77777777" w:rsidR="00F07465" w:rsidRPr="009D3785" w:rsidRDefault="00F07465">
            <w:pPr>
              <w:pStyle w:val="TableParagraph"/>
              <w:spacing w:line="255" w:lineRule="exact"/>
              <w:ind w:left="100"/>
              <w:rPr>
                <w:rFonts w:asciiTheme="majorHAnsi" w:hAnsiTheme="majorHAnsi" w:cstheme="majorHAnsi"/>
                <w:sz w:val="20"/>
                <w:szCs w:val="20"/>
              </w:rPr>
            </w:pPr>
          </w:p>
        </w:tc>
        <w:tc>
          <w:tcPr>
            <w:tcW w:w="720" w:type="dxa"/>
            <w:vMerge/>
            <w:tcBorders>
              <w:left w:val="single" w:sz="6" w:space="0" w:color="000000"/>
              <w:right w:val="single" w:sz="6" w:space="0" w:color="000000"/>
            </w:tcBorders>
            <w:vAlign w:val="center"/>
          </w:tcPr>
          <w:p w14:paraId="16C126BA" w14:textId="77777777" w:rsidR="00F07465" w:rsidRPr="009D3785" w:rsidRDefault="00F07465">
            <w:pPr>
              <w:pStyle w:val="TableParagraph"/>
              <w:spacing w:line="255" w:lineRule="exact"/>
              <w:ind w:left="100"/>
              <w:rPr>
                <w:rFonts w:asciiTheme="majorHAnsi" w:hAnsiTheme="majorHAnsi" w:cstheme="majorHAnsi"/>
                <w:sz w:val="20"/>
                <w:szCs w:val="20"/>
              </w:rPr>
            </w:pPr>
          </w:p>
        </w:tc>
        <w:tc>
          <w:tcPr>
            <w:tcW w:w="900" w:type="dxa"/>
            <w:vMerge/>
            <w:tcBorders>
              <w:left w:val="single" w:sz="6" w:space="0" w:color="000000"/>
              <w:right w:val="single" w:sz="6" w:space="0" w:color="000000"/>
            </w:tcBorders>
            <w:vAlign w:val="center"/>
          </w:tcPr>
          <w:p w14:paraId="0AF75908" w14:textId="77777777" w:rsidR="00F07465" w:rsidRPr="009D3785" w:rsidRDefault="00F07465">
            <w:pPr>
              <w:pStyle w:val="TableParagraph"/>
              <w:spacing w:line="255" w:lineRule="exact"/>
              <w:ind w:left="100"/>
              <w:rPr>
                <w:rFonts w:asciiTheme="majorHAnsi" w:hAnsiTheme="majorHAnsi" w:cstheme="majorHAnsi"/>
                <w:sz w:val="20"/>
                <w:szCs w:val="20"/>
              </w:rPr>
            </w:pPr>
          </w:p>
        </w:tc>
        <w:tc>
          <w:tcPr>
            <w:tcW w:w="1170" w:type="dxa"/>
            <w:vMerge/>
            <w:tcBorders>
              <w:left w:val="single" w:sz="6" w:space="0" w:color="000000"/>
              <w:right w:val="single" w:sz="6" w:space="0" w:color="000000"/>
            </w:tcBorders>
            <w:vAlign w:val="center"/>
          </w:tcPr>
          <w:p w14:paraId="4E1F48DE" w14:textId="77777777" w:rsidR="00F07465" w:rsidRDefault="00F07465">
            <w:pPr>
              <w:pStyle w:val="TableParagraph"/>
              <w:spacing w:line="255" w:lineRule="exact"/>
              <w:ind w:left="100"/>
              <w:rPr>
                <w:rFonts w:asciiTheme="majorHAnsi" w:hAnsiTheme="majorHAnsi" w:cstheme="majorHAns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13B58FF" w14:textId="72CB13D9" w:rsidR="00F07465" w:rsidRPr="0038110A" w:rsidRDefault="00247D49" w:rsidP="0038110A">
            <w:pPr>
              <w:pStyle w:val="TableParagraph"/>
              <w:spacing w:line="255" w:lineRule="exact"/>
              <w:ind w:left="99"/>
              <w:jc w:val="left"/>
              <w:rPr>
                <w:rFonts w:asciiTheme="majorHAnsi" w:hAnsiTheme="majorHAnsi" w:cstheme="majorHAnsi"/>
                <w:sz w:val="18"/>
                <w:szCs w:val="18"/>
              </w:rPr>
            </w:pPr>
            <w:r w:rsidRPr="0038110A">
              <w:rPr>
                <w:rFonts w:asciiTheme="majorHAnsi" w:hAnsiTheme="majorHAnsi" w:cstheme="majorHAnsi"/>
                <w:sz w:val="18"/>
                <w:szCs w:val="18"/>
              </w:rPr>
              <w:t>Super Structure</w:t>
            </w:r>
          </w:p>
        </w:tc>
        <w:tc>
          <w:tcPr>
            <w:tcW w:w="1350" w:type="dxa"/>
            <w:tcBorders>
              <w:left w:val="single" w:sz="6" w:space="0" w:color="000000"/>
              <w:right w:val="single" w:sz="6" w:space="0" w:color="000000"/>
            </w:tcBorders>
          </w:tcPr>
          <w:p w14:paraId="7CD1FB23" w14:textId="6138FB41" w:rsidR="00F07465" w:rsidRPr="0038110A" w:rsidRDefault="00936DE0">
            <w:pPr>
              <w:pStyle w:val="TableParagraph"/>
              <w:spacing w:line="255" w:lineRule="exact"/>
              <w:ind w:left="99"/>
              <w:rPr>
                <w:rFonts w:asciiTheme="majorHAnsi" w:hAnsiTheme="majorHAnsi" w:cstheme="majorHAnsi"/>
                <w:sz w:val="18"/>
                <w:szCs w:val="18"/>
              </w:rPr>
            </w:pPr>
            <w:r w:rsidRPr="0038110A">
              <w:rPr>
                <w:rFonts w:asciiTheme="majorHAnsi" w:hAnsiTheme="majorHAnsi" w:cstheme="majorHAnsi"/>
                <w:sz w:val="18"/>
                <w:szCs w:val="18"/>
              </w:rPr>
              <w:t>Satisfactory (6)</w:t>
            </w:r>
          </w:p>
        </w:tc>
        <w:tc>
          <w:tcPr>
            <w:tcW w:w="1266" w:type="dxa"/>
            <w:vMerge/>
            <w:tcBorders>
              <w:left w:val="single" w:sz="6" w:space="0" w:color="000000"/>
              <w:right w:val="single" w:sz="6" w:space="0" w:color="000000"/>
            </w:tcBorders>
          </w:tcPr>
          <w:p w14:paraId="39EAE3EA" w14:textId="77777777" w:rsidR="00F07465" w:rsidRPr="009D3785" w:rsidRDefault="00F07465">
            <w:pPr>
              <w:pStyle w:val="TableParagraph"/>
              <w:spacing w:line="255" w:lineRule="exact"/>
              <w:ind w:left="99"/>
              <w:rPr>
                <w:rFonts w:asciiTheme="majorHAnsi" w:hAnsiTheme="majorHAnsi" w:cstheme="majorHAnsi"/>
                <w:sz w:val="20"/>
                <w:szCs w:val="20"/>
              </w:rPr>
            </w:pPr>
          </w:p>
        </w:tc>
      </w:tr>
      <w:tr w:rsidR="00936DE0" w:rsidRPr="00F949F0" w14:paraId="5A6B416F" w14:textId="03365BC8" w:rsidTr="0038110A">
        <w:trPr>
          <w:trHeight w:val="100"/>
        </w:trPr>
        <w:tc>
          <w:tcPr>
            <w:tcW w:w="1704" w:type="dxa"/>
            <w:vMerge/>
            <w:tcBorders>
              <w:left w:val="single" w:sz="6" w:space="0" w:color="000000"/>
              <w:bottom w:val="single" w:sz="6" w:space="0" w:color="000000"/>
              <w:right w:val="single" w:sz="6" w:space="0" w:color="000000"/>
            </w:tcBorders>
          </w:tcPr>
          <w:p w14:paraId="6F0FA61F" w14:textId="77777777" w:rsidR="00F07465" w:rsidRPr="009D3785" w:rsidRDefault="00F07465" w:rsidP="00062B38">
            <w:pPr>
              <w:pStyle w:val="TableParagraph"/>
              <w:spacing w:line="255" w:lineRule="exact"/>
              <w:ind w:left="100"/>
              <w:jc w:val="left"/>
              <w:rPr>
                <w:rFonts w:asciiTheme="majorHAnsi" w:hAnsiTheme="majorHAnsi" w:cstheme="majorHAnsi"/>
                <w:sz w:val="20"/>
                <w:szCs w:val="20"/>
              </w:rPr>
            </w:pPr>
          </w:p>
        </w:tc>
        <w:tc>
          <w:tcPr>
            <w:tcW w:w="900" w:type="dxa"/>
            <w:vMerge/>
            <w:tcBorders>
              <w:left w:val="single" w:sz="6" w:space="0" w:color="000000"/>
              <w:bottom w:val="single" w:sz="6" w:space="0" w:color="000000"/>
              <w:right w:val="single" w:sz="6" w:space="0" w:color="000000"/>
            </w:tcBorders>
            <w:vAlign w:val="center"/>
          </w:tcPr>
          <w:p w14:paraId="4664F1E4" w14:textId="77777777" w:rsidR="00F07465" w:rsidRPr="009D3785" w:rsidRDefault="00F07465">
            <w:pPr>
              <w:pStyle w:val="TableParagraph"/>
              <w:spacing w:line="255" w:lineRule="exact"/>
              <w:ind w:left="100"/>
              <w:rPr>
                <w:rFonts w:asciiTheme="majorHAnsi" w:hAnsiTheme="majorHAnsi" w:cstheme="majorHAnsi"/>
                <w:sz w:val="20"/>
                <w:szCs w:val="20"/>
              </w:rPr>
            </w:pPr>
          </w:p>
        </w:tc>
        <w:tc>
          <w:tcPr>
            <w:tcW w:w="720" w:type="dxa"/>
            <w:vMerge/>
            <w:tcBorders>
              <w:left w:val="single" w:sz="6" w:space="0" w:color="000000"/>
              <w:bottom w:val="single" w:sz="6" w:space="0" w:color="000000"/>
              <w:right w:val="single" w:sz="6" w:space="0" w:color="000000"/>
            </w:tcBorders>
            <w:vAlign w:val="center"/>
          </w:tcPr>
          <w:p w14:paraId="29A090C5" w14:textId="77777777" w:rsidR="00F07465" w:rsidRPr="009D3785" w:rsidRDefault="00F07465">
            <w:pPr>
              <w:pStyle w:val="TableParagraph"/>
              <w:spacing w:line="255" w:lineRule="exact"/>
              <w:ind w:left="100"/>
              <w:rPr>
                <w:rFonts w:asciiTheme="majorHAnsi" w:hAnsiTheme="majorHAnsi" w:cstheme="majorHAnsi"/>
                <w:sz w:val="20"/>
                <w:szCs w:val="20"/>
              </w:rPr>
            </w:pPr>
          </w:p>
        </w:tc>
        <w:tc>
          <w:tcPr>
            <w:tcW w:w="900" w:type="dxa"/>
            <w:vMerge/>
            <w:tcBorders>
              <w:left w:val="single" w:sz="6" w:space="0" w:color="000000"/>
              <w:bottom w:val="single" w:sz="6" w:space="0" w:color="000000"/>
              <w:right w:val="single" w:sz="6" w:space="0" w:color="000000"/>
            </w:tcBorders>
            <w:vAlign w:val="center"/>
          </w:tcPr>
          <w:p w14:paraId="0FDEA059" w14:textId="77777777" w:rsidR="00F07465" w:rsidRPr="009D3785" w:rsidRDefault="00F07465">
            <w:pPr>
              <w:pStyle w:val="TableParagraph"/>
              <w:spacing w:line="255" w:lineRule="exact"/>
              <w:ind w:left="100"/>
              <w:rPr>
                <w:rFonts w:asciiTheme="majorHAnsi" w:hAnsiTheme="majorHAnsi" w:cstheme="majorHAnsi"/>
                <w:sz w:val="20"/>
                <w:szCs w:val="20"/>
              </w:rPr>
            </w:pPr>
          </w:p>
        </w:tc>
        <w:tc>
          <w:tcPr>
            <w:tcW w:w="1170" w:type="dxa"/>
            <w:vMerge/>
            <w:tcBorders>
              <w:left w:val="single" w:sz="6" w:space="0" w:color="000000"/>
              <w:bottom w:val="single" w:sz="6" w:space="0" w:color="000000"/>
              <w:right w:val="single" w:sz="6" w:space="0" w:color="000000"/>
            </w:tcBorders>
            <w:vAlign w:val="center"/>
          </w:tcPr>
          <w:p w14:paraId="6ABA3472" w14:textId="77777777" w:rsidR="00F07465" w:rsidRDefault="00F07465">
            <w:pPr>
              <w:pStyle w:val="TableParagraph"/>
              <w:spacing w:line="255" w:lineRule="exact"/>
              <w:ind w:left="100"/>
              <w:rPr>
                <w:rFonts w:asciiTheme="majorHAnsi" w:hAnsiTheme="majorHAnsi" w:cstheme="majorHAns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47AE983" w14:textId="73C56FDA" w:rsidR="00F07465" w:rsidRPr="0038110A" w:rsidRDefault="00247D49" w:rsidP="0038110A">
            <w:pPr>
              <w:pStyle w:val="TableParagraph"/>
              <w:spacing w:line="255" w:lineRule="exact"/>
              <w:ind w:left="99"/>
              <w:jc w:val="left"/>
              <w:rPr>
                <w:rFonts w:asciiTheme="majorHAnsi" w:hAnsiTheme="majorHAnsi" w:cstheme="majorHAnsi"/>
                <w:sz w:val="18"/>
                <w:szCs w:val="18"/>
              </w:rPr>
            </w:pPr>
            <w:r w:rsidRPr="0038110A">
              <w:rPr>
                <w:rFonts w:asciiTheme="majorHAnsi" w:hAnsiTheme="majorHAnsi" w:cstheme="majorHAnsi"/>
                <w:sz w:val="18"/>
                <w:szCs w:val="18"/>
              </w:rPr>
              <w:t>Substructure</w:t>
            </w:r>
          </w:p>
        </w:tc>
        <w:tc>
          <w:tcPr>
            <w:tcW w:w="1350" w:type="dxa"/>
            <w:tcBorders>
              <w:left w:val="single" w:sz="6" w:space="0" w:color="000000"/>
              <w:bottom w:val="single" w:sz="6" w:space="0" w:color="000000"/>
              <w:right w:val="single" w:sz="6" w:space="0" w:color="000000"/>
            </w:tcBorders>
          </w:tcPr>
          <w:p w14:paraId="7A5CEFDF" w14:textId="7BB6AFE5" w:rsidR="00F07465" w:rsidRPr="0038110A" w:rsidRDefault="00936DE0">
            <w:pPr>
              <w:pStyle w:val="TableParagraph"/>
              <w:spacing w:line="255" w:lineRule="exact"/>
              <w:ind w:left="99"/>
              <w:rPr>
                <w:rFonts w:asciiTheme="majorHAnsi" w:hAnsiTheme="majorHAnsi" w:cstheme="majorHAnsi"/>
                <w:sz w:val="18"/>
                <w:szCs w:val="18"/>
              </w:rPr>
            </w:pPr>
            <w:r w:rsidRPr="0038110A">
              <w:rPr>
                <w:rFonts w:asciiTheme="majorHAnsi" w:hAnsiTheme="majorHAnsi" w:cstheme="majorHAnsi"/>
                <w:sz w:val="18"/>
                <w:szCs w:val="18"/>
              </w:rPr>
              <w:t>Fair(5)</w:t>
            </w:r>
          </w:p>
        </w:tc>
        <w:tc>
          <w:tcPr>
            <w:tcW w:w="1266" w:type="dxa"/>
            <w:vMerge/>
            <w:tcBorders>
              <w:left w:val="single" w:sz="6" w:space="0" w:color="000000"/>
              <w:bottom w:val="single" w:sz="6" w:space="0" w:color="000000"/>
              <w:right w:val="single" w:sz="6" w:space="0" w:color="000000"/>
            </w:tcBorders>
          </w:tcPr>
          <w:p w14:paraId="576BBDFA" w14:textId="77777777" w:rsidR="00F07465" w:rsidRPr="009D3785" w:rsidRDefault="00F07465">
            <w:pPr>
              <w:pStyle w:val="TableParagraph"/>
              <w:spacing w:line="255" w:lineRule="exact"/>
              <w:ind w:left="99"/>
              <w:rPr>
                <w:rFonts w:asciiTheme="majorHAnsi" w:hAnsiTheme="majorHAnsi" w:cstheme="majorHAnsi"/>
                <w:sz w:val="20"/>
                <w:szCs w:val="20"/>
              </w:rPr>
            </w:pPr>
          </w:p>
        </w:tc>
      </w:tr>
      <w:tr w:rsidR="005549A1" w:rsidRPr="00F949F0" w14:paraId="1BC7716E" w14:textId="5B64141C" w:rsidTr="0038110A">
        <w:trPr>
          <w:trHeight w:val="51"/>
        </w:trPr>
        <w:tc>
          <w:tcPr>
            <w:tcW w:w="1704" w:type="dxa"/>
            <w:vMerge w:val="restart"/>
            <w:tcBorders>
              <w:top w:val="single" w:sz="6" w:space="0" w:color="000000"/>
              <w:left w:val="single" w:sz="6" w:space="0" w:color="000000"/>
              <w:right w:val="single" w:sz="6" w:space="0" w:color="000000"/>
            </w:tcBorders>
            <w:hideMark/>
          </w:tcPr>
          <w:p w14:paraId="2530A137" w14:textId="77777777" w:rsidR="005549A1" w:rsidRPr="009D3785" w:rsidRDefault="005549A1" w:rsidP="009D3785">
            <w:pPr>
              <w:pStyle w:val="TableParagraph"/>
              <w:spacing w:line="257" w:lineRule="exact"/>
              <w:ind w:left="100"/>
              <w:jc w:val="left"/>
              <w:rPr>
                <w:rFonts w:asciiTheme="majorHAnsi" w:hAnsiTheme="majorHAnsi" w:cstheme="majorHAnsi"/>
                <w:sz w:val="20"/>
                <w:szCs w:val="20"/>
              </w:rPr>
            </w:pPr>
            <w:r w:rsidRPr="009D3785">
              <w:rPr>
                <w:rFonts w:asciiTheme="majorHAnsi" w:hAnsiTheme="majorHAnsi" w:cstheme="majorHAnsi"/>
                <w:sz w:val="20"/>
                <w:szCs w:val="20"/>
              </w:rPr>
              <w:t>Otis Road Bridge</w:t>
            </w:r>
          </w:p>
        </w:tc>
        <w:tc>
          <w:tcPr>
            <w:tcW w:w="900" w:type="dxa"/>
            <w:vMerge w:val="restart"/>
            <w:tcBorders>
              <w:top w:val="single" w:sz="6" w:space="0" w:color="000000"/>
              <w:left w:val="single" w:sz="6" w:space="0" w:color="000000"/>
              <w:right w:val="single" w:sz="6" w:space="0" w:color="000000"/>
            </w:tcBorders>
            <w:vAlign w:val="center"/>
            <w:hideMark/>
          </w:tcPr>
          <w:p w14:paraId="55A57619" w14:textId="77777777" w:rsidR="005549A1" w:rsidRPr="009D3785" w:rsidRDefault="005549A1">
            <w:pPr>
              <w:pStyle w:val="TableParagraph"/>
              <w:spacing w:line="257" w:lineRule="exact"/>
              <w:ind w:left="99"/>
              <w:rPr>
                <w:rFonts w:asciiTheme="majorHAnsi" w:hAnsiTheme="majorHAnsi" w:cstheme="majorHAnsi"/>
                <w:sz w:val="20"/>
                <w:szCs w:val="20"/>
              </w:rPr>
            </w:pPr>
            <w:r w:rsidRPr="009D3785">
              <w:rPr>
                <w:rFonts w:asciiTheme="majorHAnsi" w:hAnsiTheme="majorHAnsi" w:cstheme="majorHAnsi"/>
                <w:sz w:val="20"/>
                <w:szCs w:val="20"/>
              </w:rPr>
              <w:t>5440</w:t>
            </w:r>
          </w:p>
        </w:tc>
        <w:tc>
          <w:tcPr>
            <w:tcW w:w="720" w:type="dxa"/>
            <w:vMerge w:val="restart"/>
            <w:tcBorders>
              <w:top w:val="single" w:sz="6" w:space="0" w:color="000000"/>
              <w:left w:val="single" w:sz="6" w:space="0" w:color="000000"/>
              <w:right w:val="single" w:sz="6" w:space="0" w:color="000000"/>
            </w:tcBorders>
            <w:vAlign w:val="center"/>
            <w:hideMark/>
          </w:tcPr>
          <w:p w14:paraId="47B082FC" w14:textId="0F10BB0F" w:rsidR="005549A1" w:rsidRPr="009D3785" w:rsidRDefault="00E4225D">
            <w:pPr>
              <w:pStyle w:val="TableParagraph"/>
              <w:spacing w:line="257" w:lineRule="exact"/>
              <w:ind w:left="99"/>
              <w:rPr>
                <w:rFonts w:asciiTheme="majorHAnsi" w:hAnsiTheme="majorHAnsi" w:cstheme="majorHAnsi"/>
                <w:sz w:val="20"/>
                <w:szCs w:val="20"/>
              </w:rPr>
            </w:pPr>
            <w:r>
              <w:rPr>
                <w:rFonts w:asciiTheme="majorHAnsi" w:hAnsiTheme="majorHAnsi" w:cstheme="majorHAnsi"/>
                <w:sz w:val="20"/>
                <w:szCs w:val="20"/>
              </w:rPr>
              <w:t>2003</w:t>
            </w:r>
          </w:p>
        </w:tc>
        <w:tc>
          <w:tcPr>
            <w:tcW w:w="900" w:type="dxa"/>
            <w:vMerge w:val="restart"/>
            <w:tcBorders>
              <w:top w:val="single" w:sz="6" w:space="0" w:color="000000"/>
              <w:left w:val="single" w:sz="6" w:space="0" w:color="000000"/>
              <w:right w:val="single" w:sz="6" w:space="0" w:color="000000"/>
            </w:tcBorders>
            <w:vAlign w:val="center"/>
            <w:hideMark/>
          </w:tcPr>
          <w:p w14:paraId="599DD895" w14:textId="77777777" w:rsidR="005549A1" w:rsidRPr="009D3785" w:rsidRDefault="005549A1">
            <w:pPr>
              <w:pStyle w:val="TableParagraph"/>
              <w:spacing w:line="257" w:lineRule="exact"/>
              <w:ind w:left="99"/>
              <w:rPr>
                <w:rFonts w:asciiTheme="majorHAnsi" w:hAnsiTheme="majorHAnsi" w:cstheme="majorHAnsi"/>
                <w:sz w:val="20"/>
                <w:szCs w:val="20"/>
              </w:rPr>
            </w:pPr>
            <w:r w:rsidRPr="009D3785">
              <w:rPr>
                <w:rFonts w:asciiTheme="majorHAnsi" w:hAnsiTheme="majorHAnsi" w:cstheme="majorHAnsi"/>
                <w:sz w:val="20"/>
                <w:szCs w:val="20"/>
              </w:rPr>
              <w:t>MDOT</w:t>
            </w:r>
          </w:p>
        </w:tc>
        <w:tc>
          <w:tcPr>
            <w:tcW w:w="1170" w:type="dxa"/>
            <w:vMerge w:val="restart"/>
            <w:tcBorders>
              <w:top w:val="single" w:sz="6" w:space="0" w:color="000000"/>
              <w:left w:val="single" w:sz="6" w:space="0" w:color="000000"/>
              <w:right w:val="single" w:sz="6" w:space="0" w:color="000000"/>
            </w:tcBorders>
            <w:vAlign w:val="center"/>
          </w:tcPr>
          <w:p w14:paraId="178AC092" w14:textId="1C884732" w:rsidR="005549A1" w:rsidRPr="009D3785" w:rsidRDefault="00E4225D">
            <w:pPr>
              <w:pStyle w:val="TableParagraph"/>
              <w:spacing w:line="257" w:lineRule="exact"/>
              <w:ind w:left="100"/>
              <w:rPr>
                <w:rFonts w:asciiTheme="majorHAnsi" w:hAnsiTheme="majorHAnsi" w:cstheme="majorHAnsi"/>
                <w:sz w:val="20"/>
                <w:szCs w:val="20"/>
              </w:rPr>
            </w:pPr>
            <w:r>
              <w:rPr>
                <w:rFonts w:asciiTheme="majorHAnsi" w:hAnsiTheme="majorHAnsi" w:cstheme="majorHAnsi"/>
                <w:sz w:val="20"/>
                <w:szCs w:val="20"/>
              </w:rPr>
              <w:t>1/5/2018</w:t>
            </w:r>
          </w:p>
        </w:tc>
        <w:tc>
          <w:tcPr>
            <w:tcW w:w="1350" w:type="dxa"/>
            <w:tcBorders>
              <w:top w:val="single" w:sz="6" w:space="0" w:color="000000"/>
              <w:left w:val="single" w:sz="6" w:space="0" w:color="000000"/>
              <w:bottom w:val="single" w:sz="6" w:space="0" w:color="000000"/>
              <w:right w:val="single" w:sz="6" w:space="0" w:color="000000"/>
            </w:tcBorders>
          </w:tcPr>
          <w:p w14:paraId="410A5EDB" w14:textId="46706FF5" w:rsidR="005549A1" w:rsidRPr="0038110A" w:rsidRDefault="005549A1" w:rsidP="0038110A">
            <w:pPr>
              <w:pStyle w:val="TableParagraph"/>
              <w:spacing w:line="257" w:lineRule="exact"/>
              <w:ind w:left="100"/>
              <w:jc w:val="left"/>
              <w:rPr>
                <w:rFonts w:asciiTheme="majorHAnsi" w:hAnsiTheme="majorHAnsi" w:cstheme="majorHAnsi"/>
                <w:sz w:val="18"/>
                <w:szCs w:val="18"/>
              </w:rPr>
            </w:pPr>
            <w:r>
              <w:rPr>
                <w:rFonts w:asciiTheme="majorHAnsi" w:hAnsiTheme="majorHAnsi" w:cstheme="majorHAnsi"/>
                <w:sz w:val="18"/>
                <w:szCs w:val="18"/>
              </w:rPr>
              <w:t>Deck</w:t>
            </w:r>
          </w:p>
        </w:tc>
        <w:tc>
          <w:tcPr>
            <w:tcW w:w="1350" w:type="dxa"/>
            <w:tcBorders>
              <w:top w:val="single" w:sz="6" w:space="0" w:color="000000"/>
              <w:left w:val="single" w:sz="6" w:space="0" w:color="000000"/>
              <w:right w:val="single" w:sz="6" w:space="0" w:color="000000"/>
            </w:tcBorders>
          </w:tcPr>
          <w:p w14:paraId="45E5CBC7" w14:textId="44FBB291" w:rsidR="005549A1" w:rsidRPr="0038110A" w:rsidRDefault="005549A1">
            <w:pPr>
              <w:pStyle w:val="TableParagraph"/>
              <w:spacing w:line="257" w:lineRule="exact"/>
              <w:ind w:left="99"/>
              <w:rPr>
                <w:rFonts w:asciiTheme="majorHAnsi" w:hAnsiTheme="majorHAnsi" w:cstheme="majorHAnsi"/>
                <w:sz w:val="18"/>
                <w:szCs w:val="18"/>
              </w:rPr>
            </w:pPr>
            <w:r>
              <w:rPr>
                <w:rFonts w:asciiTheme="majorHAnsi" w:hAnsiTheme="majorHAnsi" w:cstheme="majorHAnsi"/>
                <w:sz w:val="18"/>
                <w:szCs w:val="18"/>
              </w:rPr>
              <w:t>Culvert/NA</w:t>
            </w:r>
          </w:p>
        </w:tc>
        <w:tc>
          <w:tcPr>
            <w:tcW w:w="1266" w:type="dxa"/>
            <w:vMerge w:val="restart"/>
            <w:tcBorders>
              <w:top w:val="single" w:sz="6" w:space="0" w:color="000000"/>
              <w:left w:val="single" w:sz="6" w:space="0" w:color="000000"/>
              <w:right w:val="single" w:sz="6" w:space="0" w:color="000000"/>
            </w:tcBorders>
            <w:vAlign w:val="center"/>
          </w:tcPr>
          <w:p w14:paraId="2964636B" w14:textId="6FAD3561" w:rsidR="005549A1" w:rsidRPr="009D3785" w:rsidRDefault="005549A1">
            <w:pPr>
              <w:pStyle w:val="TableParagraph"/>
              <w:spacing w:line="257" w:lineRule="exact"/>
              <w:ind w:left="99"/>
              <w:rPr>
                <w:rFonts w:asciiTheme="majorHAnsi" w:hAnsiTheme="majorHAnsi" w:cstheme="majorHAnsi"/>
                <w:sz w:val="20"/>
                <w:szCs w:val="20"/>
              </w:rPr>
            </w:pPr>
            <w:r>
              <w:rPr>
                <w:rFonts w:asciiTheme="majorHAnsi" w:hAnsiTheme="majorHAnsi" w:cstheme="majorHAnsi"/>
                <w:sz w:val="20"/>
                <w:szCs w:val="20"/>
              </w:rPr>
              <w:t>96</w:t>
            </w:r>
          </w:p>
        </w:tc>
      </w:tr>
      <w:tr w:rsidR="005549A1" w:rsidRPr="00F949F0" w14:paraId="3F39FB13" w14:textId="77777777" w:rsidTr="0038110A">
        <w:trPr>
          <w:trHeight w:val="50"/>
        </w:trPr>
        <w:tc>
          <w:tcPr>
            <w:tcW w:w="1704" w:type="dxa"/>
            <w:vMerge/>
            <w:tcBorders>
              <w:left w:val="single" w:sz="6" w:space="0" w:color="000000"/>
              <w:right w:val="single" w:sz="6" w:space="0" w:color="000000"/>
            </w:tcBorders>
          </w:tcPr>
          <w:p w14:paraId="7407FC91" w14:textId="77777777" w:rsidR="005549A1" w:rsidRPr="009D3785" w:rsidRDefault="005549A1" w:rsidP="009D3785">
            <w:pPr>
              <w:pStyle w:val="TableParagraph"/>
              <w:spacing w:line="257" w:lineRule="exact"/>
              <w:ind w:left="100"/>
              <w:jc w:val="left"/>
              <w:rPr>
                <w:rFonts w:asciiTheme="majorHAnsi" w:hAnsiTheme="majorHAnsi" w:cstheme="majorHAnsi"/>
                <w:sz w:val="20"/>
                <w:szCs w:val="20"/>
              </w:rPr>
            </w:pPr>
          </w:p>
        </w:tc>
        <w:tc>
          <w:tcPr>
            <w:tcW w:w="900" w:type="dxa"/>
            <w:vMerge/>
            <w:tcBorders>
              <w:left w:val="single" w:sz="6" w:space="0" w:color="000000"/>
              <w:right w:val="single" w:sz="6" w:space="0" w:color="000000"/>
            </w:tcBorders>
            <w:vAlign w:val="center"/>
          </w:tcPr>
          <w:p w14:paraId="717145D4" w14:textId="77777777" w:rsidR="005549A1" w:rsidRPr="009D3785" w:rsidRDefault="005549A1">
            <w:pPr>
              <w:pStyle w:val="TableParagraph"/>
              <w:spacing w:line="257" w:lineRule="exact"/>
              <w:ind w:left="99"/>
              <w:rPr>
                <w:rFonts w:asciiTheme="majorHAnsi" w:hAnsiTheme="majorHAnsi" w:cstheme="majorHAnsi"/>
                <w:sz w:val="20"/>
                <w:szCs w:val="20"/>
              </w:rPr>
            </w:pPr>
          </w:p>
        </w:tc>
        <w:tc>
          <w:tcPr>
            <w:tcW w:w="720" w:type="dxa"/>
            <w:vMerge/>
            <w:tcBorders>
              <w:left w:val="single" w:sz="6" w:space="0" w:color="000000"/>
              <w:right w:val="single" w:sz="6" w:space="0" w:color="000000"/>
            </w:tcBorders>
            <w:vAlign w:val="center"/>
          </w:tcPr>
          <w:p w14:paraId="2190B94C" w14:textId="77777777" w:rsidR="005549A1" w:rsidRPr="009D3785" w:rsidRDefault="005549A1">
            <w:pPr>
              <w:pStyle w:val="TableParagraph"/>
              <w:spacing w:line="257" w:lineRule="exact"/>
              <w:ind w:left="99"/>
              <w:rPr>
                <w:rFonts w:asciiTheme="majorHAnsi" w:hAnsiTheme="majorHAnsi" w:cstheme="majorHAnsi"/>
                <w:sz w:val="20"/>
                <w:szCs w:val="20"/>
              </w:rPr>
            </w:pPr>
          </w:p>
        </w:tc>
        <w:tc>
          <w:tcPr>
            <w:tcW w:w="900" w:type="dxa"/>
            <w:vMerge/>
            <w:tcBorders>
              <w:left w:val="single" w:sz="6" w:space="0" w:color="000000"/>
              <w:right w:val="single" w:sz="6" w:space="0" w:color="000000"/>
            </w:tcBorders>
            <w:vAlign w:val="center"/>
          </w:tcPr>
          <w:p w14:paraId="48216603" w14:textId="77777777" w:rsidR="005549A1" w:rsidRPr="009D3785" w:rsidRDefault="005549A1">
            <w:pPr>
              <w:pStyle w:val="TableParagraph"/>
              <w:spacing w:line="257" w:lineRule="exact"/>
              <w:ind w:left="99"/>
              <w:rPr>
                <w:rFonts w:asciiTheme="majorHAnsi" w:hAnsiTheme="majorHAnsi" w:cstheme="majorHAnsi"/>
                <w:sz w:val="20"/>
                <w:szCs w:val="20"/>
              </w:rPr>
            </w:pPr>
          </w:p>
        </w:tc>
        <w:tc>
          <w:tcPr>
            <w:tcW w:w="1170" w:type="dxa"/>
            <w:vMerge/>
            <w:tcBorders>
              <w:left w:val="single" w:sz="6" w:space="0" w:color="000000"/>
              <w:right w:val="single" w:sz="6" w:space="0" w:color="000000"/>
            </w:tcBorders>
            <w:vAlign w:val="center"/>
          </w:tcPr>
          <w:p w14:paraId="44534CEB" w14:textId="77777777" w:rsidR="005549A1" w:rsidRPr="009D3785" w:rsidRDefault="005549A1">
            <w:pPr>
              <w:pStyle w:val="TableParagraph"/>
              <w:spacing w:line="257" w:lineRule="exact"/>
              <w:ind w:left="100"/>
              <w:rPr>
                <w:rFonts w:asciiTheme="majorHAnsi" w:hAnsiTheme="majorHAnsi" w:cstheme="majorHAns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ABAA651" w14:textId="7869CB68" w:rsidR="005549A1" w:rsidRPr="0038110A" w:rsidRDefault="005549A1" w:rsidP="00936DE0">
            <w:pPr>
              <w:pStyle w:val="TableParagraph"/>
              <w:spacing w:line="257" w:lineRule="exact"/>
              <w:ind w:left="100"/>
              <w:jc w:val="left"/>
              <w:rPr>
                <w:rFonts w:asciiTheme="majorHAnsi" w:hAnsiTheme="majorHAnsi" w:cstheme="majorHAnsi"/>
                <w:sz w:val="18"/>
                <w:szCs w:val="18"/>
              </w:rPr>
            </w:pPr>
            <w:r w:rsidRPr="00D9371B">
              <w:rPr>
                <w:rFonts w:asciiTheme="majorHAnsi" w:hAnsiTheme="majorHAnsi" w:cstheme="majorHAnsi"/>
                <w:sz w:val="18"/>
                <w:szCs w:val="18"/>
              </w:rPr>
              <w:t>Super Structure</w:t>
            </w:r>
          </w:p>
        </w:tc>
        <w:tc>
          <w:tcPr>
            <w:tcW w:w="1350" w:type="dxa"/>
            <w:tcBorders>
              <w:left w:val="single" w:sz="6" w:space="0" w:color="000000"/>
              <w:right w:val="single" w:sz="6" w:space="0" w:color="000000"/>
            </w:tcBorders>
          </w:tcPr>
          <w:p w14:paraId="758B4E2F" w14:textId="201A51B6" w:rsidR="005549A1" w:rsidRPr="0038110A" w:rsidRDefault="005549A1">
            <w:pPr>
              <w:pStyle w:val="TableParagraph"/>
              <w:spacing w:line="257" w:lineRule="exact"/>
              <w:ind w:left="99"/>
              <w:rPr>
                <w:rFonts w:asciiTheme="majorHAnsi" w:hAnsiTheme="majorHAnsi" w:cstheme="majorHAnsi"/>
                <w:sz w:val="18"/>
                <w:szCs w:val="18"/>
              </w:rPr>
            </w:pPr>
            <w:r>
              <w:rPr>
                <w:rFonts w:asciiTheme="majorHAnsi" w:hAnsiTheme="majorHAnsi" w:cstheme="majorHAnsi"/>
                <w:sz w:val="18"/>
                <w:szCs w:val="18"/>
              </w:rPr>
              <w:t>Culvert/NA</w:t>
            </w:r>
          </w:p>
        </w:tc>
        <w:tc>
          <w:tcPr>
            <w:tcW w:w="1266" w:type="dxa"/>
            <w:vMerge/>
            <w:tcBorders>
              <w:left w:val="single" w:sz="6" w:space="0" w:color="000000"/>
              <w:right w:val="single" w:sz="6" w:space="0" w:color="000000"/>
            </w:tcBorders>
            <w:vAlign w:val="center"/>
          </w:tcPr>
          <w:p w14:paraId="7C435C54" w14:textId="77777777" w:rsidR="005549A1" w:rsidRPr="009D3785" w:rsidRDefault="005549A1">
            <w:pPr>
              <w:pStyle w:val="TableParagraph"/>
              <w:spacing w:line="257" w:lineRule="exact"/>
              <w:ind w:left="99"/>
              <w:rPr>
                <w:rFonts w:asciiTheme="majorHAnsi" w:hAnsiTheme="majorHAnsi" w:cstheme="majorHAnsi"/>
                <w:sz w:val="20"/>
                <w:szCs w:val="20"/>
              </w:rPr>
            </w:pPr>
          </w:p>
        </w:tc>
      </w:tr>
      <w:tr w:rsidR="005549A1" w:rsidRPr="00F949F0" w14:paraId="362698BC" w14:textId="77777777" w:rsidTr="0038110A">
        <w:trPr>
          <w:trHeight w:val="50"/>
        </w:trPr>
        <w:tc>
          <w:tcPr>
            <w:tcW w:w="1704" w:type="dxa"/>
            <w:vMerge/>
            <w:tcBorders>
              <w:left w:val="single" w:sz="6" w:space="0" w:color="000000"/>
              <w:bottom w:val="single" w:sz="6" w:space="0" w:color="000000"/>
              <w:right w:val="single" w:sz="6" w:space="0" w:color="000000"/>
            </w:tcBorders>
          </w:tcPr>
          <w:p w14:paraId="2E61EBC8" w14:textId="77777777" w:rsidR="005549A1" w:rsidRPr="009D3785" w:rsidRDefault="005549A1" w:rsidP="009D3785">
            <w:pPr>
              <w:pStyle w:val="TableParagraph"/>
              <w:spacing w:line="257" w:lineRule="exact"/>
              <w:ind w:left="100"/>
              <w:jc w:val="left"/>
              <w:rPr>
                <w:rFonts w:asciiTheme="majorHAnsi" w:hAnsiTheme="majorHAnsi" w:cstheme="majorHAnsi"/>
                <w:sz w:val="20"/>
                <w:szCs w:val="20"/>
              </w:rPr>
            </w:pPr>
          </w:p>
        </w:tc>
        <w:tc>
          <w:tcPr>
            <w:tcW w:w="900" w:type="dxa"/>
            <w:vMerge/>
            <w:tcBorders>
              <w:left w:val="single" w:sz="6" w:space="0" w:color="000000"/>
              <w:bottom w:val="single" w:sz="6" w:space="0" w:color="000000"/>
              <w:right w:val="single" w:sz="6" w:space="0" w:color="000000"/>
            </w:tcBorders>
            <w:vAlign w:val="center"/>
          </w:tcPr>
          <w:p w14:paraId="7D9F365D" w14:textId="77777777" w:rsidR="005549A1" w:rsidRPr="009D3785" w:rsidRDefault="005549A1">
            <w:pPr>
              <w:pStyle w:val="TableParagraph"/>
              <w:spacing w:line="257" w:lineRule="exact"/>
              <w:ind w:left="99"/>
              <w:rPr>
                <w:rFonts w:asciiTheme="majorHAnsi" w:hAnsiTheme="majorHAnsi" w:cstheme="majorHAnsi"/>
                <w:sz w:val="20"/>
                <w:szCs w:val="20"/>
              </w:rPr>
            </w:pPr>
          </w:p>
        </w:tc>
        <w:tc>
          <w:tcPr>
            <w:tcW w:w="720" w:type="dxa"/>
            <w:vMerge/>
            <w:tcBorders>
              <w:left w:val="single" w:sz="6" w:space="0" w:color="000000"/>
              <w:bottom w:val="single" w:sz="6" w:space="0" w:color="000000"/>
              <w:right w:val="single" w:sz="6" w:space="0" w:color="000000"/>
            </w:tcBorders>
            <w:vAlign w:val="center"/>
          </w:tcPr>
          <w:p w14:paraId="5FF57E67" w14:textId="77777777" w:rsidR="005549A1" w:rsidRPr="009D3785" w:rsidRDefault="005549A1">
            <w:pPr>
              <w:pStyle w:val="TableParagraph"/>
              <w:spacing w:line="257" w:lineRule="exact"/>
              <w:ind w:left="99"/>
              <w:rPr>
                <w:rFonts w:asciiTheme="majorHAnsi" w:hAnsiTheme="majorHAnsi" w:cstheme="majorHAnsi"/>
                <w:sz w:val="20"/>
                <w:szCs w:val="20"/>
              </w:rPr>
            </w:pPr>
          </w:p>
        </w:tc>
        <w:tc>
          <w:tcPr>
            <w:tcW w:w="900" w:type="dxa"/>
            <w:vMerge/>
            <w:tcBorders>
              <w:left w:val="single" w:sz="6" w:space="0" w:color="000000"/>
              <w:bottom w:val="single" w:sz="6" w:space="0" w:color="000000"/>
              <w:right w:val="single" w:sz="6" w:space="0" w:color="000000"/>
            </w:tcBorders>
            <w:vAlign w:val="center"/>
          </w:tcPr>
          <w:p w14:paraId="67FF0F8E" w14:textId="77777777" w:rsidR="005549A1" w:rsidRPr="009D3785" w:rsidRDefault="005549A1">
            <w:pPr>
              <w:pStyle w:val="TableParagraph"/>
              <w:spacing w:line="257" w:lineRule="exact"/>
              <w:ind w:left="99"/>
              <w:rPr>
                <w:rFonts w:asciiTheme="majorHAnsi" w:hAnsiTheme="majorHAnsi" w:cstheme="majorHAnsi"/>
                <w:sz w:val="20"/>
                <w:szCs w:val="20"/>
              </w:rPr>
            </w:pPr>
          </w:p>
        </w:tc>
        <w:tc>
          <w:tcPr>
            <w:tcW w:w="1170" w:type="dxa"/>
            <w:vMerge/>
            <w:tcBorders>
              <w:left w:val="single" w:sz="6" w:space="0" w:color="000000"/>
              <w:bottom w:val="single" w:sz="6" w:space="0" w:color="000000"/>
              <w:right w:val="single" w:sz="6" w:space="0" w:color="000000"/>
            </w:tcBorders>
            <w:vAlign w:val="center"/>
          </w:tcPr>
          <w:p w14:paraId="3F04A822" w14:textId="77777777" w:rsidR="005549A1" w:rsidRPr="009D3785" w:rsidRDefault="005549A1">
            <w:pPr>
              <w:pStyle w:val="TableParagraph"/>
              <w:spacing w:line="257" w:lineRule="exact"/>
              <w:ind w:left="100"/>
              <w:rPr>
                <w:rFonts w:asciiTheme="majorHAnsi" w:hAnsiTheme="majorHAnsi" w:cstheme="majorHAns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0B2E942" w14:textId="6AF176DD" w:rsidR="005549A1" w:rsidRPr="0038110A" w:rsidRDefault="005549A1" w:rsidP="00936DE0">
            <w:pPr>
              <w:pStyle w:val="TableParagraph"/>
              <w:spacing w:line="257" w:lineRule="exact"/>
              <w:ind w:left="100"/>
              <w:jc w:val="left"/>
              <w:rPr>
                <w:rFonts w:asciiTheme="majorHAnsi" w:hAnsiTheme="majorHAnsi" w:cstheme="majorHAnsi"/>
                <w:sz w:val="18"/>
                <w:szCs w:val="18"/>
              </w:rPr>
            </w:pPr>
            <w:r w:rsidRPr="00D9371B">
              <w:rPr>
                <w:rFonts w:asciiTheme="majorHAnsi" w:hAnsiTheme="majorHAnsi" w:cstheme="majorHAnsi"/>
                <w:sz w:val="18"/>
                <w:szCs w:val="18"/>
              </w:rPr>
              <w:t>Substructure</w:t>
            </w:r>
          </w:p>
        </w:tc>
        <w:tc>
          <w:tcPr>
            <w:tcW w:w="1350" w:type="dxa"/>
            <w:tcBorders>
              <w:left w:val="single" w:sz="6" w:space="0" w:color="000000"/>
              <w:bottom w:val="single" w:sz="6" w:space="0" w:color="000000"/>
              <w:right w:val="single" w:sz="6" w:space="0" w:color="000000"/>
            </w:tcBorders>
          </w:tcPr>
          <w:p w14:paraId="5AAB58B3" w14:textId="7A74571C" w:rsidR="005549A1" w:rsidRPr="0038110A" w:rsidRDefault="005549A1">
            <w:pPr>
              <w:pStyle w:val="TableParagraph"/>
              <w:spacing w:line="257" w:lineRule="exact"/>
              <w:ind w:left="99"/>
              <w:rPr>
                <w:rFonts w:asciiTheme="majorHAnsi" w:hAnsiTheme="majorHAnsi" w:cstheme="majorHAnsi"/>
                <w:sz w:val="18"/>
                <w:szCs w:val="18"/>
              </w:rPr>
            </w:pPr>
            <w:r>
              <w:rPr>
                <w:rFonts w:asciiTheme="majorHAnsi" w:hAnsiTheme="majorHAnsi" w:cstheme="majorHAnsi"/>
                <w:sz w:val="18"/>
                <w:szCs w:val="18"/>
              </w:rPr>
              <w:t>Culvert/NA</w:t>
            </w:r>
          </w:p>
        </w:tc>
        <w:tc>
          <w:tcPr>
            <w:tcW w:w="1266" w:type="dxa"/>
            <w:vMerge/>
            <w:tcBorders>
              <w:left w:val="single" w:sz="6" w:space="0" w:color="000000"/>
              <w:bottom w:val="single" w:sz="6" w:space="0" w:color="000000"/>
              <w:right w:val="single" w:sz="6" w:space="0" w:color="000000"/>
            </w:tcBorders>
            <w:vAlign w:val="center"/>
          </w:tcPr>
          <w:p w14:paraId="7A76AF0E" w14:textId="77777777" w:rsidR="005549A1" w:rsidRPr="009D3785" w:rsidRDefault="005549A1">
            <w:pPr>
              <w:pStyle w:val="TableParagraph"/>
              <w:spacing w:line="257" w:lineRule="exact"/>
              <w:ind w:left="99"/>
              <w:rPr>
                <w:rFonts w:asciiTheme="majorHAnsi" w:hAnsiTheme="majorHAnsi" w:cstheme="majorHAnsi"/>
                <w:sz w:val="20"/>
                <w:szCs w:val="20"/>
              </w:rPr>
            </w:pPr>
          </w:p>
        </w:tc>
      </w:tr>
      <w:tr w:rsidR="005549A1" w:rsidRPr="00F949F0" w14:paraId="04273BD4" w14:textId="0B46D345" w:rsidTr="0038110A">
        <w:trPr>
          <w:trHeight w:val="51"/>
        </w:trPr>
        <w:tc>
          <w:tcPr>
            <w:tcW w:w="1704" w:type="dxa"/>
            <w:vMerge w:val="restart"/>
            <w:tcBorders>
              <w:top w:val="single" w:sz="6" w:space="0" w:color="000000"/>
              <w:left w:val="single" w:sz="6" w:space="0" w:color="000000"/>
              <w:right w:val="single" w:sz="6" w:space="0" w:color="000000"/>
            </w:tcBorders>
            <w:hideMark/>
          </w:tcPr>
          <w:p w14:paraId="4D573E29" w14:textId="77777777" w:rsidR="005549A1" w:rsidRPr="009D3785" w:rsidRDefault="005549A1" w:rsidP="009D3785">
            <w:pPr>
              <w:pStyle w:val="TableParagraph"/>
              <w:spacing w:line="255" w:lineRule="exact"/>
              <w:ind w:left="100"/>
              <w:jc w:val="left"/>
              <w:rPr>
                <w:rFonts w:asciiTheme="majorHAnsi" w:hAnsiTheme="majorHAnsi" w:cstheme="majorHAnsi"/>
                <w:sz w:val="20"/>
                <w:szCs w:val="20"/>
              </w:rPr>
            </w:pPr>
            <w:r w:rsidRPr="009D3785">
              <w:rPr>
                <w:rFonts w:asciiTheme="majorHAnsi" w:hAnsiTheme="majorHAnsi" w:cstheme="majorHAnsi"/>
                <w:sz w:val="20"/>
                <w:szCs w:val="20"/>
              </w:rPr>
              <w:t>Plank Brook Bridge</w:t>
            </w:r>
          </w:p>
        </w:tc>
        <w:tc>
          <w:tcPr>
            <w:tcW w:w="900" w:type="dxa"/>
            <w:vMerge w:val="restart"/>
            <w:tcBorders>
              <w:top w:val="single" w:sz="6" w:space="0" w:color="000000"/>
              <w:left w:val="single" w:sz="6" w:space="0" w:color="000000"/>
              <w:right w:val="single" w:sz="6" w:space="0" w:color="000000"/>
            </w:tcBorders>
            <w:vAlign w:val="center"/>
            <w:hideMark/>
          </w:tcPr>
          <w:p w14:paraId="26F88363" w14:textId="77777777" w:rsidR="005549A1" w:rsidRPr="009D3785" w:rsidRDefault="005549A1">
            <w:pPr>
              <w:pStyle w:val="TableParagraph"/>
              <w:spacing w:line="255" w:lineRule="exact"/>
              <w:ind w:left="99"/>
              <w:rPr>
                <w:rFonts w:asciiTheme="majorHAnsi" w:hAnsiTheme="majorHAnsi" w:cstheme="majorHAnsi"/>
                <w:sz w:val="20"/>
                <w:szCs w:val="20"/>
              </w:rPr>
            </w:pPr>
            <w:r w:rsidRPr="009D3785">
              <w:rPr>
                <w:rFonts w:asciiTheme="majorHAnsi" w:hAnsiTheme="majorHAnsi" w:cstheme="majorHAnsi"/>
                <w:sz w:val="20"/>
                <w:szCs w:val="20"/>
              </w:rPr>
              <w:t>5415</w:t>
            </w:r>
          </w:p>
        </w:tc>
        <w:tc>
          <w:tcPr>
            <w:tcW w:w="720" w:type="dxa"/>
            <w:vMerge w:val="restart"/>
            <w:tcBorders>
              <w:top w:val="single" w:sz="6" w:space="0" w:color="000000"/>
              <w:left w:val="single" w:sz="6" w:space="0" w:color="000000"/>
              <w:right w:val="single" w:sz="6" w:space="0" w:color="000000"/>
            </w:tcBorders>
            <w:vAlign w:val="center"/>
            <w:hideMark/>
          </w:tcPr>
          <w:p w14:paraId="26D5344C" w14:textId="77777777" w:rsidR="005549A1" w:rsidRPr="009D3785" w:rsidRDefault="005549A1">
            <w:pPr>
              <w:pStyle w:val="TableParagraph"/>
              <w:spacing w:line="255" w:lineRule="exact"/>
              <w:ind w:left="99"/>
              <w:rPr>
                <w:rFonts w:asciiTheme="majorHAnsi" w:hAnsiTheme="majorHAnsi" w:cstheme="majorHAnsi"/>
                <w:sz w:val="20"/>
                <w:szCs w:val="20"/>
              </w:rPr>
            </w:pPr>
            <w:r w:rsidRPr="009D3785">
              <w:rPr>
                <w:rFonts w:asciiTheme="majorHAnsi" w:hAnsiTheme="majorHAnsi" w:cstheme="majorHAnsi"/>
                <w:sz w:val="20"/>
                <w:szCs w:val="20"/>
              </w:rPr>
              <w:t>1993</w:t>
            </w:r>
          </w:p>
        </w:tc>
        <w:tc>
          <w:tcPr>
            <w:tcW w:w="900" w:type="dxa"/>
            <w:vMerge w:val="restart"/>
            <w:tcBorders>
              <w:top w:val="single" w:sz="6" w:space="0" w:color="000000"/>
              <w:left w:val="single" w:sz="6" w:space="0" w:color="000000"/>
              <w:right w:val="single" w:sz="6" w:space="0" w:color="000000"/>
            </w:tcBorders>
            <w:vAlign w:val="center"/>
            <w:hideMark/>
          </w:tcPr>
          <w:p w14:paraId="5C441E73" w14:textId="77777777" w:rsidR="005549A1" w:rsidRPr="009D3785" w:rsidRDefault="005549A1">
            <w:pPr>
              <w:pStyle w:val="TableParagraph"/>
              <w:spacing w:line="255" w:lineRule="exact"/>
              <w:ind w:left="99"/>
              <w:rPr>
                <w:rFonts w:asciiTheme="majorHAnsi" w:hAnsiTheme="majorHAnsi" w:cstheme="majorHAnsi"/>
                <w:sz w:val="20"/>
                <w:szCs w:val="20"/>
              </w:rPr>
            </w:pPr>
            <w:r w:rsidRPr="009D3785">
              <w:rPr>
                <w:rFonts w:asciiTheme="majorHAnsi" w:hAnsiTheme="majorHAnsi" w:cstheme="majorHAnsi"/>
                <w:sz w:val="20"/>
                <w:szCs w:val="20"/>
              </w:rPr>
              <w:t>MDOT</w:t>
            </w:r>
          </w:p>
        </w:tc>
        <w:tc>
          <w:tcPr>
            <w:tcW w:w="1170" w:type="dxa"/>
            <w:vMerge w:val="restart"/>
            <w:tcBorders>
              <w:top w:val="single" w:sz="6" w:space="0" w:color="000000"/>
              <w:left w:val="single" w:sz="6" w:space="0" w:color="000000"/>
              <w:right w:val="single" w:sz="6" w:space="0" w:color="000000"/>
            </w:tcBorders>
            <w:vAlign w:val="center"/>
          </w:tcPr>
          <w:p w14:paraId="3C510F9F" w14:textId="35B60F0A" w:rsidR="005549A1" w:rsidRPr="009D3785" w:rsidRDefault="00E4225D">
            <w:pPr>
              <w:pStyle w:val="TableParagraph"/>
              <w:spacing w:line="255" w:lineRule="exact"/>
              <w:ind w:left="100"/>
              <w:rPr>
                <w:rFonts w:asciiTheme="majorHAnsi" w:hAnsiTheme="majorHAnsi" w:cstheme="majorHAnsi"/>
                <w:sz w:val="20"/>
                <w:szCs w:val="20"/>
              </w:rPr>
            </w:pPr>
            <w:r>
              <w:rPr>
                <w:rFonts w:asciiTheme="majorHAnsi" w:hAnsiTheme="majorHAnsi" w:cstheme="majorHAnsi"/>
                <w:sz w:val="20"/>
                <w:szCs w:val="20"/>
              </w:rPr>
              <w:t>11/29/2016</w:t>
            </w:r>
          </w:p>
        </w:tc>
        <w:tc>
          <w:tcPr>
            <w:tcW w:w="1350" w:type="dxa"/>
            <w:tcBorders>
              <w:top w:val="single" w:sz="6" w:space="0" w:color="000000"/>
              <w:left w:val="single" w:sz="6" w:space="0" w:color="000000"/>
              <w:bottom w:val="single" w:sz="6" w:space="0" w:color="000000"/>
              <w:right w:val="single" w:sz="6" w:space="0" w:color="000000"/>
            </w:tcBorders>
          </w:tcPr>
          <w:p w14:paraId="0CD12B8B" w14:textId="400BC9BC" w:rsidR="005549A1" w:rsidRPr="0038110A" w:rsidRDefault="005549A1" w:rsidP="0038110A">
            <w:pPr>
              <w:pStyle w:val="TableParagraph"/>
              <w:spacing w:line="255" w:lineRule="exact"/>
              <w:ind w:left="99"/>
              <w:jc w:val="left"/>
              <w:rPr>
                <w:rFonts w:asciiTheme="majorHAnsi" w:hAnsiTheme="majorHAnsi" w:cstheme="majorHAnsi"/>
                <w:sz w:val="18"/>
                <w:szCs w:val="18"/>
              </w:rPr>
            </w:pPr>
            <w:r>
              <w:rPr>
                <w:rFonts w:asciiTheme="majorHAnsi" w:hAnsiTheme="majorHAnsi" w:cstheme="majorHAnsi"/>
                <w:sz w:val="18"/>
                <w:szCs w:val="18"/>
              </w:rPr>
              <w:t>Deck</w:t>
            </w:r>
          </w:p>
        </w:tc>
        <w:tc>
          <w:tcPr>
            <w:tcW w:w="1350" w:type="dxa"/>
            <w:tcBorders>
              <w:top w:val="single" w:sz="6" w:space="0" w:color="000000"/>
              <w:left w:val="single" w:sz="6" w:space="0" w:color="000000"/>
              <w:right w:val="single" w:sz="6" w:space="0" w:color="000000"/>
            </w:tcBorders>
          </w:tcPr>
          <w:p w14:paraId="4F8032BC" w14:textId="5FC4F45E" w:rsidR="005549A1" w:rsidRPr="0038110A" w:rsidRDefault="005549A1">
            <w:pPr>
              <w:pStyle w:val="TableParagraph"/>
              <w:spacing w:line="255" w:lineRule="exact"/>
              <w:ind w:left="99"/>
              <w:rPr>
                <w:rFonts w:asciiTheme="majorHAnsi" w:hAnsiTheme="majorHAnsi" w:cstheme="majorHAnsi"/>
                <w:sz w:val="18"/>
                <w:szCs w:val="18"/>
              </w:rPr>
            </w:pPr>
            <w:r w:rsidRPr="00D9371B">
              <w:rPr>
                <w:rFonts w:asciiTheme="majorHAnsi" w:hAnsiTheme="majorHAnsi" w:cstheme="majorHAnsi"/>
                <w:sz w:val="18"/>
                <w:szCs w:val="18"/>
              </w:rPr>
              <w:t>Satisfactory (6)</w:t>
            </w:r>
          </w:p>
        </w:tc>
        <w:tc>
          <w:tcPr>
            <w:tcW w:w="1266" w:type="dxa"/>
            <w:vMerge w:val="restart"/>
            <w:tcBorders>
              <w:top w:val="single" w:sz="6" w:space="0" w:color="000000"/>
              <w:left w:val="single" w:sz="6" w:space="0" w:color="000000"/>
              <w:right w:val="single" w:sz="6" w:space="0" w:color="000000"/>
            </w:tcBorders>
            <w:vAlign w:val="center"/>
          </w:tcPr>
          <w:p w14:paraId="3723B7E9" w14:textId="1438BD5A" w:rsidR="005549A1" w:rsidRPr="009D3785" w:rsidRDefault="005549A1">
            <w:pPr>
              <w:pStyle w:val="TableParagraph"/>
              <w:spacing w:line="255" w:lineRule="exact"/>
              <w:ind w:left="99"/>
              <w:rPr>
                <w:rFonts w:asciiTheme="majorHAnsi" w:hAnsiTheme="majorHAnsi" w:cstheme="majorHAnsi"/>
                <w:sz w:val="20"/>
                <w:szCs w:val="20"/>
              </w:rPr>
            </w:pPr>
            <w:r>
              <w:rPr>
                <w:rFonts w:asciiTheme="majorHAnsi" w:hAnsiTheme="majorHAnsi" w:cstheme="majorHAnsi"/>
                <w:sz w:val="20"/>
                <w:szCs w:val="20"/>
              </w:rPr>
              <w:t>77</w:t>
            </w:r>
          </w:p>
        </w:tc>
      </w:tr>
      <w:tr w:rsidR="005549A1" w:rsidRPr="00F949F0" w14:paraId="0BF8DBF5" w14:textId="77777777" w:rsidTr="0038110A">
        <w:trPr>
          <w:trHeight w:val="50"/>
        </w:trPr>
        <w:tc>
          <w:tcPr>
            <w:tcW w:w="1704" w:type="dxa"/>
            <w:vMerge/>
            <w:tcBorders>
              <w:left w:val="single" w:sz="6" w:space="0" w:color="000000"/>
              <w:right w:val="single" w:sz="6" w:space="0" w:color="000000"/>
            </w:tcBorders>
          </w:tcPr>
          <w:p w14:paraId="3BCD94AA" w14:textId="77777777" w:rsidR="005549A1" w:rsidRPr="009D3785" w:rsidRDefault="005549A1" w:rsidP="009D3785">
            <w:pPr>
              <w:pStyle w:val="TableParagraph"/>
              <w:spacing w:line="255" w:lineRule="exact"/>
              <w:ind w:left="100"/>
              <w:jc w:val="left"/>
              <w:rPr>
                <w:rFonts w:asciiTheme="majorHAnsi" w:hAnsiTheme="majorHAnsi" w:cstheme="majorHAnsi"/>
                <w:sz w:val="20"/>
                <w:szCs w:val="20"/>
              </w:rPr>
            </w:pPr>
          </w:p>
        </w:tc>
        <w:tc>
          <w:tcPr>
            <w:tcW w:w="900" w:type="dxa"/>
            <w:vMerge/>
            <w:tcBorders>
              <w:left w:val="single" w:sz="6" w:space="0" w:color="000000"/>
              <w:right w:val="single" w:sz="6" w:space="0" w:color="000000"/>
            </w:tcBorders>
          </w:tcPr>
          <w:p w14:paraId="58CD10C7" w14:textId="77777777" w:rsidR="005549A1" w:rsidRPr="009D3785" w:rsidRDefault="005549A1">
            <w:pPr>
              <w:pStyle w:val="TableParagraph"/>
              <w:spacing w:line="255" w:lineRule="exact"/>
              <w:ind w:left="99"/>
              <w:rPr>
                <w:rFonts w:asciiTheme="majorHAnsi" w:hAnsiTheme="majorHAnsi" w:cstheme="majorHAnsi"/>
                <w:sz w:val="20"/>
                <w:szCs w:val="20"/>
              </w:rPr>
            </w:pPr>
          </w:p>
        </w:tc>
        <w:tc>
          <w:tcPr>
            <w:tcW w:w="720" w:type="dxa"/>
            <w:vMerge/>
            <w:tcBorders>
              <w:left w:val="single" w:sz="6" w:space="0" w:color="000000"/>
              <w:right w:val="single" w:sz="6" w:space="0" w:color="000000"/>
            </w:tcBorders>
          </w:tcPr>
          <w:p w14:paraId="4E098606" w14:textId="77777777" w:rsidR="005549A1" w:rsidRPr="009D3785" w:rsidRDefault="005549A1">
            <w:pPr>
              <w:pStyle w:val="TableParagraph"/>
              <w:spacing w:line="255" w:lineRule="exact"/>
              <w:ind w:left="99"/>
              <w:rPr>
                <w:rFonts w:asciiTheme="majorHAnsi" w:hAnsiTheme="majorHAnsi" w:cstheme="majorHAnsi"/>
                <w:sz w:val="20"/>
                <w:szCs w:val="20"/>
              </w:rPr>
            </w:pPr>
          </w:p>
        </w:tc>
        <w:tc>
          <w:tcPr>
            <w:tcW w:w="900" w:type="dxa"/>
            <w:vMerge/>
            <w:tcBorders>
              <w:left w:val="single" w:sz="6" w:space="0" w:color="000000"/>
              <w:right w:val="single" w:sz="6" w:space="0" w:color="000000"/>
            </w:tcBorders>
          </w:tcPr>
          <w:p w14:paraId="5E6764F3" w14:textId="77777777" w:rsidR="005549A1" w:rsidRPr="009D3785" w:rsidRDefault="005549A1">
            <w:pPr>
              <w:pStyle w:val="TableParagraph"/>
              <w:spacing w:line="255" w:lineRule="exact"/>
              <w:ind w:left="99"/>
              <w:rPr>
                <w:rFonts w:asciiTheme="majorHAnsi" w:hAnsiTheme="majorHAnsi" w:cstheme="majorHAnsi"/>
                <w:sz w:val="20"/>
                <w:szCs w:val="20"/>
              </w:rPr>
            </w:pPr>
          </w:p>
        </w:tc>
        <w:tc>
          <w:tcPr>
            <w:tcW w:w="1170" w:type="dxa"/>
            <w:vMerge/>
            <w:tcBorders>
              <w:left w:val="single" w:sz="6" w:space="0" w:color="000000"/>
              <w:right w:val="single" w:sz="6" w:space="0" w:color="000000"/>
            </w:tcBorders>
          </w:tcPr>
          <w:p w14:paraId="3F98B723" w14:textId="77777777" w:rsidR="005549A1" w:rsidRPr="009D3785" w:rsidRDefault="005549A1">
            <w:pPr>
              <w:pStyle w:val="TableParagraph"/>
              <w:spacing w:line="255" w:lineRule="exact"/>
              <w:ind w:left="100"/>
              <w:rPr>
                <w:rFonts w:asciiTheme="majorHAnsi" w:hAnsiTheme="majorHAnsi" w:cstheme="majorHAns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0B69307" w14:textId="53A019D4" w:rsidR="005549A1" w:rsidRPr="0038110A" w:rsidRDefault="005549A1" w:rsidP="00936DE0">
            <w:pPr>
              <w:pStyle w:val="TableParagraph"/>
              <w:spacing w:line="255" w:lineRule="exact"/>
              <w:ind w:left="99"/>
              <w:jc w:val="left"/>
              <w:rPr>
                <w:rFonts w:asciiTheme="majorHAnsi" w:hAnsiTheme="majorHAnsi" w:cstheme="majorHAnsi"/>
                <w:sz w:val="18"/>
                <w:szCs w:val="18"/>
              </w:rPr>
            </w:pPr>
            <w:r w:rsidRPr="00D9371B">
              <w:rPr>
                <w:rFonts w:asciiTheme="majorHAnsi" w:hAnsiTheme="majorHAnsi" w:cstheme="majorHAnsi"/>
                <w:sz w:val="18"/>
                <w:szCs w:val="18"/>
              </w:rPr>
              <w:t>Super Structure</w:t>
            </w:r>
          </w:p>
        </w:tc>
        <w:tc>
          <w:tcPr>
            <w:tcW w:w="1350" w:type="dxa"/>
            <w:tcBorders>
              <w:left w:val="single" w:sz="6" w:space="0" w:color="000000"/>
              <w:right w:val="single" w:sz="6" w:space="0" w:color="000000"/>
            </w:tcBorders>
          </w:tcPr>
          <w:p w14:paraId="57336129" w14:textId="21DFAFB7" w:rsidR="005549A1" w:rsidRPr="0038110A" w:rsidRDefault="005549A1">
            <w:pPr>
              <w:pStyle w:val="TableParagraph"/>
              <w:spacing w:line="255" w:lineRule="exact"/>
              <w:ind w:left="99"/>
              <w:rPr>
                <w:rFonts w:asciiTheme="majorHAnsi" w:hAnsiTheme="majorHAnsi" w:cstheme="majorHAnsi"/>
                <w:sz w:val="18"/>
                <w:szCs w:val="18"/>
              </w:rPr>
            </w:pPr>
            <w:r w:rsidRPr="00D9371B">
              <w:rPr>
                <w:rFonts w:asciiTheme="majorHAnsi" w:hAnsiTheme="majorHAnsi" w:cstheme="majorHAnsi"/>
                <w:sz w:val="18"/>
                <w:szCs w:val="18"/>
              </w:rPr>
              <w:t>Satisfactory (6)</w:t>
            </w:r>
          </w:p>
        </w:tc>
        <w:tc>
          <w:tcPr>
            <w:tcW w:w="1266" w:type="dxa"/>
            <w:vMerge/>
            <w:tcBorders>
              <w:left w:val="single" w:sz="6" w:space="0" w:color="000000"/>
              <w:right w:val="single" w:sz="6" w:space="0" w:color="000000"/>
            </w:tcBorders>
          </w:tcPr>
          <w:p w14:paraId="69235821" w14:textId="77777777" w:rsidR="005549A1" w:rsidRPr="009D3785" w:rsidRDefault="005549A1" w:rsidP="00936DE0">
            <w:pPr>
              <w:pStyle w:val="TableParagraph"/>
              <w:spacing w:line="255" w:lineRule="exact"/>
              <w:ind w:left="99"/>
              <w:rPr>
                <w:rFonts w:asciiTheme="majorHAnsi" w:hAnsiTheme="majorHAnsi" w:cstheme="majorHAnsi"/>
                <w:sz w:val="20"/>
                <w:szCs w:val="20"/>
              </w:rPr>
            </w:pPr>
          </w:p>
        </w:tc>
      </w:tr>
      <w:tr w:rsidR="005549A1" w:rsidRPr="00F949F0" w14:paraId="5274C404" w14:textId="77777777" w:rsidTr="0038110A">
        <w:trPr>
          <w:trHeight w:val="50"/>
        </w:trPr>
        <w:tc>
          <w:tcPr>
            <w:tcW w:w="1704" w:type="dxa"/>
            <w:vMerge/>
            <w:tcBorders>
              <w:left w:val="single" w:sz="6" w:space="0" w:color="000000"/>
              <w:bottom w:val="single" w:sz="6" w:space="0" w:color="000000"/>
              <w:right w:val="single" w:sz="6" w:space="0" w:color="000000"/>
            </w:tcBorders>
          </w:tcPr>
          <w:p w14:paraId="651B040B" w14:textId="77777777" w:rsidR="005549A1" w:rsidRPr="009D3785" w:rsidRDefault="005549A1" w:rsidP="009D3785">
            <w:pPr>
              <w:pStyle w:val="TableParagraph"/>
              <w:spacing w:line="255" w:lineRule="exact"/>
              <w:ind w:left="100"/>
              <w:jc w:val="left"/>
              <w:rPr>
                <w:rFonts w:asciiTheme="majorHAnsi" w:hAnsiTheme="majorHAnsi" w:cstheme="majorHAnsi"/>
                <w:sz w:val="20"/>
                <w:szCs w:val="20"/>
              </w:rPr>
            </w:pPr>
          </w:p>
        </w:tc>
        <w:tc>
          <w:tcPr>
            <w:tcW w:w="900" w:type="dxa"/>
            <w:vMerge/>
            <w:tcBorders>
              <w:left w:val="single" w:sz="6" w:space="0" w:color="000000"/>
              <w:bottom w:val="single" w:sz="6" w:space="0" w:color="000000"/>
              <w:right w:val="single" w:sz="6" w:space="0" w:color="000000"/>
            </w:tcBorders>
          </w:tcPr>
          <w:p w14:paraId="5877031F" w14:textId="77777777" w:rsidR="005549A1" w:rsidRPr="009D3785" w:rsidRDefault="005549A1">
            <w:pPr>
              <w:pStyle w:val="TableParagraph"/>
              <w:spacing w:line="255" w:lineRule="exact"/>
              <w:ind w:left="99"/>
              <w:rPr>
                <w:rFonts w:asciiTheme="majorHAnsi" w:hAnsiTheme="majorHAnsi" w:cstheme="majorHAnsi"/>
                <w:sz w:val="20"/>
                <w:szCs w:val="20"/>
              </w:rPr>
            </w:pPr>
          </w:p>
        </w:tc>
        <w:tc>
          <w:tcPr>
            <w:tcW w:w="720" w:type="dxa"/>
            <w:vMerge/>
            <w:tcBorders>
              <w:left w:val="single" w:sz="6" w:space="0" w:color="000000"/>
              <w:bottom w:val="single" w:sz="6" w:space="0" w:color="000000"/>
              <w:right w:val="single" w:sz="6" w:space="0" w:color="000000"/>
            </w:tcBorders>
          </w:tcPr>
          <w:p w14:paraId="68BF9008" w14:textId="77777777" w:rsidR="005549A1" w:rsidRPr="009D3785" w:rsidRDefault="005549A1">
            <w:pPr>
              <w:pStyle w:val="TableParagraph"/>
              <w:spacing w:line="255" w:lineRule="exact"/>
              <w:ind w:left="99"/>
              <w:rPr>
                <w:rFonts w:asciiTheme="majorHAnsi" w:hAnsiTheme="majorHAnsi" w:cstheme="majorHAnsi"/>
                <w:sz w:val="20"/>
                <w:szCs w:val="20"/>
              </w:rPr>
            </w:pPr>
          </w:p>
        </w:tc>
        <w:tc>
          <w:tcPr>
            <w:tcW w:w="900" w:type="dxa"/>
            <w:vMerge/>
            <w:tcBorders>
              <w:left w:val="single" w:sz="6" w:space="0" w:color="000000"/>
              <w:bottom w:val="single" w:sz="6" w:space="0" w:color="000000"/>
              <w:right w:val="single" w:sz="6" w:space="0" w:color="000000"/>
            </w:tcBorders>
          </w:tcPr>
          <w:p w14:paraId="18055F98" w14:textId="77777777" w:rsidR="005549A1" w:rsidRPr="009D3785" w:rsidRDefault="005549A1">
            <w:pPr>
              <w:pStyle w:val="TableParagraph"/>
              <w:spacing w:line="255" w:lineRule="exact"/>
              <w:ind w:left="99"/>
              <w:rPr>
                <w:rFonts w:asciiTheme="majorHAnsi" w:hAnsiTheme="majorHAnsi" w:cstheme="majorHAnsi"/>
                <w:sz w:val="20"/>
                <w:szCs w:val="20"/>
              </w:rPr>
            </w:pPr>
          </w:p>
        </w:tc>
        <w:tc>
          <w:tcPr>
            <w:tcW w:w="1170" w:type="dxa"/>
            <w:vMerge/>
            <w:tcBorders>
              <w:left w:val="single" w:sz="6" w:space="0" w:color="000000"/>
              <w:bottom w:val="single" w:sz="6" w:space="0" w:color="000000"/>
              <w:right w:val="single" w:sz="6" w:space="0" w:color="000000"/>
            </w:tcBorders>
          </w:tcPr>
          <w:p w14:paraId="21311825" w14:textId="77777777" w:rsidR="005549A1" w:rsidRPr="009D3785" w:rsidRDefault="005549A1">
            <w:pPr>
              <w:pStyle w:val="TableParagraph"/>
              <w:spacing w:line="255" w:lineRule="exact"/>
              <w:ind w:left="100"/>
              <w:rPr>
                <w:rFonts w:asciiTheme="majorHAnsi" w:hAnsiTheme="majorHAnsi" w:cstheme="majorHAns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37819AE" w14:textId="4C69E40F" w:rsidR="005549A1" w:rsidRPr="0038110A" w:rsidRDefault="005549A1" w:rsidP="00936DE0">
            <w:pPr>
              <w:pStyle w:val="TableParagraph"/>
              <w:spacing w:line="255" w:lineRule="exact"/>
              <w:ind w:left="99"/>
              <w:jc w:val="left"/>
              <w:rPr>
                <w:rFonts w:asciiTheme="majorHAnsi" w:hAnsiTheme="majorHAnsi" w:cstheme="majorHAnsi"/>
                <w:sz w:val="18"/>
                <w:szCs w:val="18"/>
              </w:rPr>
            </w:pPr>
            <w:r w:rsidRPr="00D9371B">
              <w:rPr>
                <w:rFonts w:asciiTheme="majorHAnsi" w:hAnsiTheme="majorHAnsi" w:cstheme="majorHAnsi"/>
                <w:sz w:val="18"/>
                <w:szCs w:val="18"/>
              </w:rPr>
              <w:t>Substructure</w:t>
            </w:r>
          </w:p>
        </w:tc>
        <w:tc>
          <w:tcPr>
            <w:tcW w:w="1350" w:type="dxa"/>
            <w:tcBorders>
              <w:left w:val="single" w:sz="6" w:space="0" w:color="000000"/>
              <w:bottom w:val="single" w:sz="6" w:space="0" w:color="000000"/>
              <w:right w:val="single" w:sz="6" w:space="0" w:color="000000"/>
            </w:tcBorders>
          </w:tcPr>
          <w:p w14:paraId="617E2B09" w14:textId="1D64B2BC" w:rsidR="005549A1" w:rsidRPr="0038110A" w:rsidRDefault="005549A1">
            <w:pPr>
              <w:pStyle w:val="TableParagraph"/>
              <w:spacing w:line="255" w:lineRule="exact"/>
              <w:ind w:left="99"/>
              <w:rPr>
                <w:rFonts w:asciiTheme="majorHAnsi" w:hAnsiTheme="majorHAnsi" w:cstheme="majorHAnsi"/>
                <w:sz w:val="18"/>
                <w:szCs w:val="18"/>
              </w:rPr>
            </w:pPr>
            <w:r w:rsidRPr="00D9371B">
              <w:rPr>
                <w:rFonts w:asciiTheme="majorHAnsi" w:hAnsiTheme="majorHAnsi" w:cstheme="majorHAnsi"/>
                <w:sz w:val="18"/>
                <w:szCs w:val="18"/>
              </w:rPr>
              <w:t>Satisfactory (6)</w:t>
            </w:r>
          </w:p>
        </w:tc>
        <w:tc>
          <w:tcPr>
            <w:tcW w:w="1266" w:type="dxa"/>
            <w:vMerge/>
            <w:tcBorders>
              <w:left w:val="single" w:sz="6" w:space="0" w:color="000000"/>
              <w:bottom w:val="single" w:sz="6" w:space="0" w:color="000000"/>
              <w:right w:val="single" w:sz="6" w:space="0" w:color="000000"/>
            </w:tcBorders>
          </w:tcPr>
          <w:p w14:paraId="4045D7CE" w14:textId="77777777" w:rsidR="005549A1" w:rsidRPr="009D3785" w:rsidRDefault="005549A1" w:rsidP="00936DE0">
            <w:pPr>
              <w:pStyle w:val="TableParagraph"/>
              <w:spacing w:line="255" w:lineRule="exact"/>
              <w:ind w:left="99"/>
              <w:rPr>
                <w:rFonts w:asciiTheme="majorHAnsi" w:hAnsiTheme="majorHAnsi" w:cstheme="majorHAnsi"/>
                <w:sz w:val="20"/>
                <w:szCs w:val="20"/>
              </w:rPr>
            </w:pPr>
          </w:p>
        </w:tc>
      </w:tr>
    </w:tbl>
    <w:p w14:paraId="53CE45E4" w14:textId="77777777" w:rsidR="007B44B7" w:rsidRPr="009D3785" w:rsidRDefault="007B44B7" w:rsidP="007B44B7">
      <w:pPr>
        <w:spacing w:after="120"/>
        <w:rPr>
          <w:rFonts w:cstheme="majorHAnsi"/>
          <w:sz w:val="20"/>
          <w:szCs w:val="20"/>
        </w:rPr>
      </w:pPr>
    </w:p>
    <w:p w14:paraId="18036CDD" w14:textId="12F0ECA5" w:rsidR="00F90966" w:rsidRDefault="00394E5F" w:rsidP="007B44B7">
      <w:pPr>
        <w:spacing w:after="120"/>
      </w:pPr>
      <w:r>
        <w:t xml:space="preserve">A </w:t>
      </w:r>
      <w:r w:rsidR="00F90966" w:rsidRPr="00F90966">
        <w:t xml:space="preserve">bridge </w:t>
      </w:r>
      <w:r>
        <w:t xml:space="preserve">“federal sufficiency rating" calculation weights </w:t>
      </w:r>
      <w:r w:rsidR="00F90966" w:rsidRPr="00F90966">
        <w:t xml:space="preserve">55% on the structural evaluation, 30% on the obsolescence of its design, and 15% on its importance to the public. </w:t>
      </w:r>
      <w:r>
        <w:t xml:space="preserve"> </w:t>
      </w:r>
      <w:r w:rsidR="00F90966" w:rsidRPr="00F90966">
        <w:t xml:space="preserve">As of 2008, a score of 80 or less </w:t>
      </w:r>
      <w:r>
        <w:t>creates a federal funding request repair justification</w:t>
      </w:r>
      <w:r w:rsidR="00F90966" w:rsidRPr="00F90966">
        <w:t xml:space="preserve">, and 50 or less </w:t>
      </w:r>
      <w:r>
        <w:t xml:space="preserve">will make the bridge eligible for federal </w:t>
      </w:r>
      <w:r w:rsidR="00F90966" w:rsidRPr="00F90966">
        <w:t>replacement funding.</w:t>
      </w:r>
    </w:p>
    <w:p w14:paraId="534B62F6" w14:textId="23E84D18" w:rsidR="007B44B7" w:rsidRPr="0038110A" w:rsidRDefault="007B44B7" w:rsidP="007B44B7">
      <w:pPr>
        <w:spacing w:after="120"/>
        <w:rPr>
          <w:b/>
          <w:u w:val="single"/>
        </w:rPr>
      </w:pPr>
      <w:r w:rsidRPr="0038110A">
        <w:rPr>
          <w:b/>
          <w:u w:val="single"/>
        </w:rPr>
        <w:t>SIDEWALK/PEDESTRIAN/BICYCLE FACILITIES</w:t>
      </w:r>
    </w:p>
    <w:p w14:paraId="099E8702" w14:textId="02FDC463" w:rsidR="007B44B7" w:rsidRDefault="007B44B7" w:rsidP="009D3785">
      <w:pPr>
        <w:spacing w:after="120"/>
        <w:ind w:firstLine="720"/>
      </w:pPr>
      <w:r>
        <w:t xml:space="preserve">Clifton has no sidewalks, bike paths, cross walks, or other areas designed to aid pedestrians and cyclists. </w:t>
      </w:r>
      <w:r w:rsidR="00F949F0">
        <w:t xml:space="preserve"> </w:t>
      </w:r>
      <w:r>
        <w:t xml:space="preserve">Despite the fact that there are no bike paths in Clifton, groups of cyclists regularly ride routes between Pat’s Bike Shop in Brewer and either the Rebel Hill or Chick Hill areas in Clifton. </w:t>
      </w:r>
      <w:r w:rsidR="00F949F0">
        <w:t xml:space="preserve"> </w:t>
      </w:r>
      <w:r>
        <w:t xml:space="preserve">These cyclists use the paved shoulders of Airline Road (Route 9) and the driving surface of Rebel Hill Road (Route 180). </w:t>
      </w:r>
      <w:r w:rsidR="00F949F0">
        <w:t xml:space="preserve"> </w:t>
      </w:r>
    </w:p>
    <w:p w14:paraId="4E5FCD72" w14:textId="7B72922F" w:rsidR="007B44B7" w:rsidRPr="0038110A" w:rsidRDefault="007B44B7" w:rsidP="007B44B7">
      <w:pPr>
        <w:spacing w:after="120"/>
        <w:rPr>
          <w:b/>
          <w:u w:val="single"/>
        </w:rPr>
      </w:pPr>
      <w:r w:rsidRPr="0038110A">
        <w:rPr>
          <w:b/>
          <w:u w:val="single"/>
        </w:rPr>
        <w:t>PUBLIC TRANSPORTATION</w:t>
      </w:r>
    </w:p>
    <w:p w14:paraId="2062905C" w14:textId="226A485C" w:rsidR="007B44B7" w:rsidRDefault="007B44B7" w:rsidP="009D3785">
      <w:pPr>
        <w:spacing w:after="120"/>
        <w:ind w:firstLine="720"/>
      </w:pPr>
      <w:r>
        <w:t xml:space="preserve">Clifton does not have a public transportation system. </w:t>
      </w:r>
      <w:r w:rsidR="00F949F0">
        <w:t xml:space="preserve"> </w:t>
      </w:r>
      <w:r>
        <w:t xml:space="preserve">At present, population trends show no </w:t>
      </w:r>
      <w:r w:rsidR="00F949F0">
        <w:t>cost-effective</w:t>
      </w:r>
      <w:r>
        <w:t xml:space="preserve"> opportunity for public transportation. </w:t>
      </w:r>
      <w:r w:rsidR="00F949F0">
        <w:t xml:space="preserve"> </w:t>
      </w:r>
      <w:r>
        <w:t xml:space="preserve">Taxi service is available from Ellsworth, Bar Harbor, Bangor or Brewer. </w:t>
      </w:r>
      <w:r w:rsidR="00F949F0">
        <w:t xml:space="preserve"> </w:t>
      </w:r>
      <w:r w:rsidR="00C2044D">
        <w:t xml:space="preserve">Several </w:t>
      </w:r>
      <w:r w:rsidR="00B06F25">
        <w:t>transportation network service companies (TNC) also sometimes called mobility providers, including Uber and Lyft are also available in the area.</w:t>
      </w:r>
      <w:r w:rsidR="00C2044D">
        <w:t xml:space="preserve">  </w:t>
      </w:r>
    </w:p>
    <w:p w14:paraId="0048E601" w14:textId="4183F941" w:rsidR="007B44B7" w:rsidRDefault="007B44B7" w:rsidP="009D3785">
      <w:pPr>
        <w:spacing w:after="120"/>
        <w:ind w:firstLine="720"/>
      </w:pPr>
      <w:r>
        <w:t xml:space="preserve">The LYNX is a program of the Penquis Community Action Program (Penquis CAP-www.penquis.org), funded in part by the Maine Department of Transportation and the Maine Department of Human Services, Bureau of Medical Services, which provides transportation services for residents of Penobscot and Piscataquis Counties. </w:t>
      </w:r>
      <w:r w:rsidR="00B06F25">
        <w:t xml:space="preserve"> </w:t>
      </w:r>
      <w:r>
        <w:t>Door to door transportation for eligible riders is made by appointment weekdays from 8:00 a.m. to 4:30 by calling 973-3695.</w:t>
      </w:r>
    </w:p>
    <w:p w14:paraId="7A01CCD5" w14:textId="4769C1E6" w:rsidR="007B44B7" w:rsidRDefault="007B44B7" w:rsidP="009D3785">
      <w:pPr>
        <w:spacing w:after="120"/>
        <w:ind w:firstLine="720"/>
      </w:pPr>
      <w:r>
        <w:t xml:space="preserve">Transportation is by vans and buses; private vehicles; or family members are directly reimbursed for Medicaid covered services. </w:t>
      </w:r>
      <w:r w:rsidR="00B06F25">
        <w:t xml:space="preserve"> </w:t>
      </w:r>
      <w:r>
        <w:t>Services are for the general public; special services for the elderly; Medicaid recipients; other social service clients by agency contract; and serves as a paratransit provider for The BA</w:t>
      </w:r>
      <w:r w:rsidR="00B06F25">
        <w:t>T or Bangor Area Transportation.</w:t>
      </w:r>
    </w:p>
    <w:p w14:paraId="74958050" w14:textId="1196C64A" w:rsidR="007B44B7" w:rsidRPr="0038110A" w:rsidRDefault="007B44B7" w:rsidP="007B44B7">
      <w:pPr>
        <w:spacing w:after="120"/>
        <w:rPr>
          <w:b/>
          <w:u w:val="single"/>
        </w:rPr>
      </w:pPr>
      <w:r w:rsidRPr="0038110A">
        <w:rPr>
          <w:b/>
          <w:u w:val="single"/>
        </w:rPr>
        <w:t xml:space="preserve">REGIONAL </w:t>
      </w:r>
      <w:r w:rsidR="008C6C5E" w:rsidRPr="0038110A">
        <w:rPr>
          <w:b/>
          <w:u w:val="single"/>
        </w:rPr>
        <w:t>TRANSPORTATION</w:t>
      </w:r>
    </w:p>
    <w:p w14:paraId="06A83458" w14:textId="36F9EED3" w:rsidR="008C6C5E" w:rsidRPr="0038110A" w:rsidRDefault="008C6C5E" w:rsidP="007B44B7">
      <w:pPr>
        <w:spacing w:after="120"/>
        <w:rPr>
          <w:u w:val="single"/>
        </w:rPr>
      </w:pPr>
      <w:r w:rsidRPr="0038110A">
        <w:rPr>
          <w:u w:val="single"/>
        </w:rPr>
        <w:t>Airports</w:t>
      </w:r>
    </w:p>
    <w:p w14:paraId="12CDFDB1" w14:textId="6041BECD" w:rsidR="007B44B7" w:rsidRDefault="007B44B7" w:rsidP="007B44B7">
      <w:pPr>
        <w:spacing w:after="120"/>
      </w:pPr>
      <w:r>
        <w:t xml:space="preserve">There are no airports or public airfields within the Town of Clifton. </w:t>
      </w:r>
      <w:r w:rsidR="00394E5F">
        <w:t xml:space="preserve"> </w:t>
      </w:r>
      <w:r>
        <w:t>Primary regional airports include:</w:t>
      </w:r>
    </w:p>
    <w:p w14:paraId="038A1D50" w14:textId="5541A7F9" w:rsidR="007B44B7" w:rsidRDefault="007B44B7" w:rsidP="0038110A">
      <w:pPr>
        <w:spacing w:after="120"/>
        <w:ind w:left="720"/>
      </w:pPr>
      <w:r>
        <w:t>Bangor International Airport, is the nearest airport located in Bangor. The airport provides national and international commercial passenger and freight services, as well as civil defense operations. The airport has an 11,441-foot main runway.  Car rental services are available.</w:t>
      </w:r>
    </w:p>
    <w:p w14:paraId="7C5B9419" w14:textId="6EF4A6D5" w:rsidR="007B44B7" w:rsidRDefault="007B44B7" w:rsidP="0038110A">
      <w:pPr>
        <w:spacing w:after="120"/>
        <w:ind w:left="720"/>
      </w:pPr>
      <w:r>
        <w:t>Hancock County - Bar Harbor Airport in Trenton has regularly scheduled passenger commercial service. In addition to daily commuter service to Boston, Massachusetts, charter service is offered. Car rental services are available. The airport has a 5,200-foot main runway.</w:t>
      </w:r>
    </w:p>
    <w:p w14:paraId="189B5A4E" w14:textId="3A79AC35" w:rsidR="007B44B7" w:rsidRDefault="008C6C5E" w:rsidP="007B44B7">
      <w:pPr>
        <w:spacing w:after="120"/>
      </w:pPr>
      <w:r w:rsidRPr="0038110A">
        <w:rPr>
          <w:u w:val="single"/>
        </w:rPr>
        <w:t>Bus Service</w:t>
      </w:r>
    </w:p>
    <w:p w14:paraId="3B50BC4C" w14:textId="68D03662" w:rsidR="007B44B7" w:rsidRDefault="008C6C5E">
      <w:pPr>
        <w:spacing w:after="120"/>
      </w:pPr>
      <w:r>
        <w:tab/>
      </w:r>
      <w:r w:rsidR="007B44B7">
        <w:t>There is no public city or intercity bus service in Clifton. However regional bus services include:</w:t>
      </w:r>
    </w:p>
    <w:p w14:paraId="2354718C" w14:textId="16C3323C" w:rsidR="007B44B7" w:rsidRDefault="007B44B7" w:rsidP="0038110A">
      <w:pPr>
        <w:spacing w:after="120"/>
        <w:ind w:left="720"/>
      </w:pPr>
      <w:r w:rsidRPr="0038110A">
        <w:rPr>
          <w:i/>
        </w:rPr>
        <w:t>Cyr Bus Lines</w:t>
      </w:r>
      <w:r>
        <w:t xml:space="preserve"> is the nearest bus company. It is a full service transportation company and tour operator located in Old Town. Cyr Bus Line offers daily scheduled service between Bangor and Aroostook County. Cyr Bus Lines also features a fleet of modern school buses and deluxe motorcoaches, available for both charter and lease. Cyr Bus Tours, the tour operations division of the company, offers tour packages to Atlantic Canada and the Eastern United States.</w:t>
      </w:r>
    </w:p>
    <w:p w14:paraId="7994DBB3" w14:textId="596AD919" w:rsidR="007B44B7" w:rsidRDefault="007B44B7" w:rsidP="0038110A">
      <w:pPr>
        <w:spacing w:after="120"/>
        <w:ind w:left="720"/>
      </w:pPr>
      <w:r w:rsidRPr="0038110A">
        <w:rPr>
          <w:i/>
        </w:rPr>
        <w:t>Concord Trailways</w:t>
      </w:r>
      <w:r>
        <w:t xml:space="preserve"> is Northern New England’s largest intercity bus carrier. The Express Service provides multiple daily service from 1039 Union Street in Bangor to Portland, Boston’s South Station and Logan Airport. In addition, Concord Trailways also provides pick up and drop off service directly to the University of Maine.</w:t>
      </w:r>
    </w:p>
    <w:p w14:paraId="5EBD6C0B" w14:textId="7A521724" w:rsidR="007B44B7" w:rsidRDefault="007B44B7" w:rsidP="0038110A">
      <w:pPr>
        <w:spacing w:after="120"/>
        <w:ind w:left="720"/>
      </w:pPr>
      <w:r w:rsidRPr="0038110A">
        <w:rPr>
          <w:i/>
        </w:rPr>
        <w:t>Greyhound Bus Lines</w:t>
      </w:r>
      <w:r>
        <w:t xml:space="preserve"> provides service nationwide. Greyhound Lines, Inc. offers multiple daily departures to Portland and Boston originating at Dysarts Restaurant at 530 Cold</w:t>
      </w:r>
      <w:r w:rsidR="00394E5F">
        <w:t xml:space="preserve"> B</w:t>
      </w:r>
      <w:r>
        <w:t>rook</w:t>
      </w:r>
      <w:r w:rsidR="00394E5F">
        <w:t xml:space="preserve"> </w:t>
      </w:r>
      <w:r>
        <w:t>Road in Hermon.</w:t>
      </w:r>
    </w:p>
    <w:p w14:paraId="6BD91D18" w14:textId="5D03E7AD" w:rsidR="007B44B7" w:rsidRDefault="007B44B7" w:rsidP="0038110A">
      <w:pPr>
        <w:spacing w:after="120"/>
        <w:ind w:left="720"/>
      </w:pPr>
      <w:r w:rsidRPr="0038110A">
        <w:rPr>
          <w:i/>
        </w:rPr>
        <w:t>BAT Community Connector</w:t>
      </w:r>
      <w:r>
        <w:t xml:space="preserve"> is a fixed route public transit system operated by the City of Bangor for the communities of the Greater Bangor Urbanized Area.  They include Bangor, Brewer, Veazie, Orono, Old Town, and Hampden. The Bus also provides service to the University of Maine. The City of Bangor supplies service to these communities on a contractual basis.  BAT Community Connector base of operation is in Bangor.</w:t>
      </w:r>
    </w:p>
    <w:p w14:paraId="79DBBEDF" w14:textId="77777777" w:rsidR="00BA3BB2" w:rsidRDefault="00BA3BB2" w:rsidP="0038110A">
      <w:pPr>
        <w:spacing w:after="120"/>
        <w:ind w:left="720"/>
      </w:pPr>
    </w:p>
    <w:p w14:paraId="7F83251B" w14:textId="34581D34" w:rsidR="007B44B7" w:rsidRDefault="007B44B7" w:rsidP="007B44B7">
      <w:pPr>
        <w:spacing w:after="120"/>
      </w:pPr>
      <w:r w:rsidRPr="0038110A">
        <w:rPr>
          <w:b/>
          <w:u w:val="single"/>
        </w:rPr>
        <w:t>ACCESS MANAGEMENT</w:t>
      </w:r>
    </w:p>
    <w:p w14:paraId="65336A0E" w14:textId="55030DCA" w:rsidR="007B44B7" w:rsidRDefault="008C6C5E" w:rsidP="007B44B7">
      <w:pPr>
        <w:spacing w:after="120"/>
      </w:pPr>
      <w:r>
        <w:tab/>
      </w:r>
      <w:r w:rsidR="007B44B7">
        <w:t xml:space="preserve">Access management is the planned location and design of driveways and entrances to public roads, and land uses, to help reduce accidents and prolong the useful life of an arterial. Arterial highways, including Route 9, represent only 12% of the state-maintained highway system, but carry 62% of the statewide traffic volume. </w:t>
      </w:r>
      <w:r>
        <w:t xml:space="preserve"> </w:t>
      </w:r>
      <w:r w:rsidR="007B44B7">
        <w:t xml:space="preserve">Maintaining posted speed limits on the system means assisting the flow of people, goods and services to move faster, which enhances productivity, reduces congestion-related delays and environment degradation. </w:t>
      </w:r>
      <w:r>
        <w:t xml:space="preserve"> </w:t>
      </w:r>
      <w:r w:rsidR="007B44B7">
        <w:t xml:space="preserve">By preserving the capacity of the current system, the need to build costly new highway capacity such as new travel lanes and bypasses will be reduced in the future. </w:t>
      </w:r>
      <w:r>
        <w:t xml:space="preserve"> </w:t>
      </w:r>
      <w:r w:rsidR="007B44B7">
        <w:t>Currently, Clifton has no ordinances making access management stricter than that mandated by the state.</w:t>
      </w:r>
    </w:p>
    <w:p w14:paraId="7792FF01" w14:textId="7BA25F53" w:rsidR="007B44B7" w:rsidRDefault="007B44B7" w:rsidP="007B44B7">
      <w:pPr>
        <w:spacing w:after="120"/>
      </w:pPr>
      <w:r w:rsidRPr="0038110A">
        <w:rPr>
          <w:b/>
          <w:u w:val="single"/>
        </w:rPr>
        <w:t>CORRIDOR PLANNING</w:t>
      </w:r>
    </w:p>
    <w:p w14:paraId="0B9F5869" w14:textId="1F2FEE30" w:rsidR="007B44B7" w:rsidRDefault="00FB522C" w:rsidP="007B44B7">
      <w:pPr>
        <w:spacing w:after="120"/>
      </w:pPr>
      <w:r>
        <w:tab/>
      </w:r>
      <w:r w:rsidR="007B44B7">
        <w:t xml:space="preserve">The purpose of corridor planning is to develop a regional approach for corridor management. Corridor planning is necessary for the continued efficient movement of traffic.  Corridor planning is directly related not only to mobility, but also to economic activity and regional mitigation efforts that are necessary for the vitality of the area. It is important for neighboring communities to recognize the importance of corridor planning and to work together to create a regional access management master plan. </w:t>
      </w:r>
    </w:p>
    <w:p w14:paraId="7B0F667E" w14:textId="3F822CF0" w:rsidR="007B44B7" w:rsidRDefault="00FB522C" w:rsidP="007B44B7">
      <w:pPr>
        <w:spacing w:after="120"/>
      </w:pPr>
      <w:r>
        <w:tab/>
      </w:r>
      <w:r w:rsidR="0078378D">
        <w:t>A</w:t>
      </w:r>
      <w:r w:rsidR="007B44B7">
        <w:t xml:space="preserve">rterial </w:t>
      </w:r>
      <w:r w:rsidR="0078378D">
        <w:t xml:space="preserve">State </w:t>
      </w:r>
      <w:r w:rsidR="007B44B7">
        <w:t xml:space="preserve">Route 9 </w:t>
      </w:r>
      <w:r w:rsidR="0078378D">
        <w:t xml:space="preserve">bisects the town horizontally </w:t>
      </w:r>
      <w:r w:rsidR="007B44B7">
        <w:t xml:space="preserve">and </w:t>
      </w:r>
      <w:r w:rsidR="0078378D">
        <w:t xml:space="preserve">State Route 180 transects </w:t>
      </w:r>
      <w:r w:rsidR="007B44B7">
        <w:t xml:space="preserve">vertically. </w:t>
      </w:r>
      <w:r w:rsidR="0078378D">
        <w:t xml:space="preserve"> </w:t>
      </w:r>
      <w:r w:rsidR="007B44B7">
        <w:t xml:space="preserve">These two state highways carry most of the traffic volume in Clifton and receive significant state and federal funding. </w:t>
      </w:r>
      <w:r w:rsidR="0078378D">
        <w:t xml:space="preserve"> </w:t>
      </w:r>
      <w:r w:rsidR="007B44B7">
        <w:t xml:space="preserve">MaineDOT published a report, Public Involvement in Transportation Planning in 2015. </w:t>
      </w:r>
      <w:r>
        <w:t xml:space="preserve"> </w:t>
      </w:r>
      <w:r w:rsidR="007B44B7">
        <w:t>This document provides guidance for municipal participation in corridor planning.  The town should work with MDOT to whenever corridor plans are updated.</w:t>
      </w:r>
    </w:p>
    <w:p w14:paraId="677E3C83" w14:textId="2823F9F7" w:rsidR="007B44B7" w:rsidRDefault="00FB522C" w:rsidP="007B44B7">
      <w:pPr>
        <w:spacing w:after="120"/>
      </w:pPr>
      <w:r>
        <w:tab/>
      </w:r>
      <w:r w:rsidR="007B44B7">
        <w:t xml:space="preserve">In 2016 MDOT and the Federal Highway Administration (FHWA) approved construction of the I-395 connector as illustrated </w:t>
      </w:r>
      <w:r>
        <w:t>above</w:t>
      </w:r>
      <w:r w:rsidR="007B44B7">
        <w:t xml:space="preserve">. </w:t>
      </w:r>
      <w:r>
        <w:t xml:space="preserve"> </w:t>
      </w:r>
      <w:r w:rsidR="007B44B7">
        <w:t xml:space="preserve">The connector completes a bypass around Bangor and Brewer commercial </w:t>
      </w:r>
      <w:r>
        <w:t>districts</w:t>
      </w:r>
      <w:r w:rsidR="007B44B7">
        <w:t xml:space="preserve"> significantly reducing travel time for through-traffic. </w:t>
      </w:r>
      <w:r>
        <w:t xml:space="preserve"> </w:t>
      </w:r>
      <w:r w:rsidR="007B44B7">
        <w:t>The interchange between Route 395 and Route 9 is proposed to be close to the Meadow Brook crossing in E</w:t>
      </w:r>
      <w:r>
        <w:t>d</w:t>
      </w:r>
      <w:r w:rsidR="007B44B7">
        <w:t xml:space="preserve">dington, approximately 4.2 miles west of the Clifton town line.  </w:t>
      </w:r>
    </w:p>
    <w:p w14:paraId="028C2201" w14:textId="081CA27D" w:rsidR="007B44B7" w:rsidRDefault="00FB522C" w:rsidP="007B44B7">
      <w:pPr>
        <w:spacing w:after="120"/>
      </w:pPr>
      <w:r>
        <w:tab/>
      </w:r>
      <w:r w:rsidR="007B44B7">
        <w:t xml:space="preserve">Commercial vehicle traffic on Route 9 through Clifton </w:t>
      </w:r>
      <w:r w:rsidR="0078378D">
        <w:t>should</w:t>
      </w:r>
      <w:r w:rsidR="007B44B7">
        <w:t xml:space="preserve"> increase. </w:t>
      </w:r>
      <w:r w:rsidR="0078378D">
        <w:t xml:space="preserve"> </w:t>
      </w:r>
      <w:r w:rsidR="007B44B7">
        <w:t xml:space="preserve">The speed at which drivers choose to travel remains unknown; </w:t>
      </w:r>
      <w:r>
        <w:t>t</w:t>
      </w:r>
      <w:r w:rsidR="007B44B7">
        <w:t>he location of this intersection and the traffic flow caused by it may impact services to Clifton residents such as school bus routes, mail delivery, trash collection, and emergency services.</w:t>
      </w:r>
    </w:p>
    <w:p w14:paraId="2B48441B" w14:textId="0B21AF2E" w:rsidR="007B44B7" w:rsidRDefault="00FB522C" w:rsidP="007B44B7">
      <w:pPr>
        <w:spacing w:after="120"/>
      </w:pPr>
      <w:r>
        <w:tab/>
      </w:r>
      <w:r w:rsidR="007B44B7">
        <w:t xml:space="preserve">The I-395 connector road </w:t>
      </w:r>
      <w:r w:rsidR="0078378D">
        <w:t xml:space="preserve">will likely </w:t>
      </w:r>
      <w:r w:rsidR="007B44B7">
        <w:t xml:space="preserve">impact land use adjacent to Route 9. </w:t>
      </w:r>
      <w:r w:rsidR="005A3322">
        <w:t xml:space="preserve"> </w:t>
      </w:r>
      <w:r w:rsidR="007B44B7">
        <w:t xml:space="preserve">The proposed interchange between I-395 and Route 9 may encourage commercial strip development along the highway in the westerly portion of the town. </w:t>
      </w:r>
      <w:r>
        <w:t xml:space="preserve"> </w:t>
      </w:r>
      <w:r w:rsidR="007B44B7">
        <w:t xml:space="preserve">Strip type development will have negative impacts both on safety and mobility on Route 9 and erode the arterial’s capacity to function as a safe and efficient interstate commerce route. </w:t>
      </w:r>
      <w:r>
        <w:t xml:space="preserve"> </w:t>
      </w:r>
      <w:r w:rsidR="007B44B7">
        <w:t xml:space="preserve">The Town of Clifton </w:t>
      </w:r>
      <w:r>
        <w:t xml:space="preserve">may </w:t>
      </w:r>
      <w:r w:rsidR="007B44B7">
        <w:t>work with the Town</w:t>
      </w:r>
      <w:r>
        <w:t>s</w:t>
      </w:r>
      <w:r w:rsidR="007B44B7">
        <w:t xml:space="preserve"> of Eddington</w:t>
      </w:r>
      <w:r>
        <w:t>, Amherst</w:t>
      </w:r>
      <w:r w:rsidR="007B44B7">
        <w:t xml:space="preserve"> and MaineDOT to develop a corridor plan </w:t>
      </w:r>
      <w:r>
        <w:t>managing</w:t>
      </w:r>
      <w:r w:rsidR="007B44B7">
        <w:t xml:space="preserve"> development along the highway corridor and adopt access management performance standards in </w:t>
      </w:r>
      <w:r>
        <w:t xml:space="preserve">a </w:t>
      </w:r>
      <w:r w:rsidR="007B44B7">
        <w:t>future land use ordinance</w:t>
      </w:r>
      <w:r>
        <w:t xml:space="preserve"> update.</w:t>
      </w:r>
    </w:p>
    <w:p w14:paraId="1B4F13E0" w14:textId="10354011" w:rsidR="004D5702" w:rsidRPr="00F736EA" w:rsidRDefault="004D5702" w:rsidP="004D5702">
      <w:pPr>
        <w:widowControl w:val="0"/>
        <w:spacing w:after="120"/>
        <w:rPr>
          <w:u w:val="single"/>
        </w:rPr>
      </w:pPr>
      <w:r>
        <w:rPr>
          <w:b/>
          <w:u w:val="single"/>
        </w:rPr>
        <w:t>STRATEGIES and POLICIES</w:t>
      </w:r>
    </w:p>
    <w:p w14:paraId="5BE38DC1" w14:textId="1CF6AE38" w:rsidR="004D5702" w:rsidRDefault="004D5702" w:rsidP="004D5702">
      <w:pPr>
        <w:widowControl w:val="0"/>
        <w:spacing w:after="120"/>
      </w:pPr>
      <w:r>
        <w:tab/>
      </w:r>
      <w:r w:rsidR="00EB094B">
        <w:t xml:space="preserve">The Town implemented all land use and coordination strategies recommended in the last Comprehensive Plan.  The town is now in sustainment mode and with the Tax Increment Financing funds available, town roads and other transportation planning type funding related to enhancing economic goals is available.  </w:t>
      </w:r>
    </w:p>
    <w:p w14:paraId="0E752632" w14:textId="31FC971A" w:rsidR="0085458E" w:rsidRDefault="0085458E" w:rsidP="004D5702">
      <w:pPr>
        <w:widowControl w:val="0"/>
        <w:spacing w:after="120"/>
      </w:pPr>
      <w:r>
        <w:tab/>
        <w:t>The overarching policy statement for Clifton regarding transportation is:</w:t>
      </w:r>
    </w:p>
    <w:p w14:paraId="0631725A" w14:textId="523D59E6" w:rsidR="0085458E" w:rsidRDefault="0085458E" w:rsidP="004D5702">
      <w:pPr>
        <w:widowControl w:val="0"/>
        <w:spacing w:after="120"/>
      </w:pPr>
      <w:r>
        <w:tab/>
        <w:t xml:space="preserve">The two primary boards managing the town’s business processes, financial assets, and land use governance will actively sustain motor vehicle infrastructure </w:t>
      </w:r>
      <w:r w:rsidR="004F2059">
        <w:t>while expanding recreational access to bicycles and regional walking trail networks and also improving accessibility to regional passenger services to better support the identified vulnerable families in the community.</w:t>
      </w:r>
    </w:p>
    <w:p w14:paraId="423D80F5" w14:textId="5BCF1E30" w:rsidR="0085458E" w:rsidRDefault="0085458E" w:rsidP="004D5702">
      <w:pPr>
        <w:widowControl w:val="0"/>
        <w:spacing w:after="120"/>
      </w:pPr>
      <w:r>
        <w:tab/>
      </w:r>
      <w:r w:rsidR="004F2059">
        <w:t xml:space="preserve">The </w:t>
      </w:r>
      <w:r w:rsidR="00B24209">
        <w:t>eight</w:t>
      </w:r>
      <w:r w:rsidR="004F2059">
        <w:t xml:space="preserve"> major strategies will be:</w:t>
      </w:r>
    </w:p>
    <w:p w14:paraId="16AE9E61" w14:textId="666A151F" w:rsidR="004F2059" w:rsidRDefault="004F2059" w:rsidP="004D5702">
      <w:pPr>
        <w:widowControl w:val="0"/>
        <w:spacing w:after="120"/>
      </w:pPr>
      <w:r>
        <w:tab/>
        <w:t xml:space="preserve">The Select Board will continue to appoint and upgrade train at least one member to be an effective Road Commissioner responsible for </w:t>
      </w:r>
      <w:r w:rsidR="00EE1BC2">
        <w:t xml:space="preserve">planning, scheduling, and </w:t>
      </w:r>
      <w:r>
        <w:t>contracting oversight</w:t>
      </w:r>
      <w:r w:rsidR="00EE1BC2">
        <w:t>.</w:t>
      </w:r>
    </w:p>
    <w:p w14:paraId="167F13CD" w14:textId="7DF0188B" w:rsidR="00EE1BC2" w:rsidRDefault="00EE1BC2" w:rsidP="004D5702">
      <w:pPr>
        <w:widowControl w:val="0"/>
        <w:spacing w:after="120"/>
      </w:pPr>
      <w:r>
        <w:tab/>
        <w:t>The Select Board will continue to make use of the TIF and property taxes for revenue sources on par with anticipated and nominal, historically based contingency consumption to sustain Town roads.</w:t>
      </w:r>
    </w:p>
    <w:p w14:paraId="7EEA9131" w14:textId="46AB40AF" w:rsidR="00EE1BC2" w:rsidRDefault="00EE1BC2" w:rsidP="004D5702">
      <w:pPr>
        <w:widowControl w:val="0"/>
        <w:spacing w:after="120"/>
      </w:pPr>
      <w:r>
        <w:tab/>
        <w:t>The Select Board will ensure the Code Enforcement Officer monitors development and land owner practices to ensure activities do not encroach</w:t>
      </w:r>
      <w:r w:rsidR="00EC1E62">
        <w:t xml:space="preserve"> or cause harm to Town roads.</w:t>
      </w:r>
    </w:p>
    <w:p w14:paraId="53926637" w14:textId="4F931DF2" w:rsidR="00EC1E62" w:rsidRDefault="00EC1E62" w:rsidP="004D5702">
      <w:pPr>
        <w:widowControl w:val="0"/>
        <w:spacing w:after="120"/>
      </w:pPr>
      <w:r>
        <w:tab/>
        <w:t>The Planning Board will continue to review projects and update the land use ordinance when necessary to ensure protection of community transportation system assets and public safety particularly as the by-pass corridor comes on line with the predicted 2,000 vehicle per day increase.</w:t>
      </w:r>
    </w:p>
    <w:p w14:paraId="59F0A4A7" w14:textId="688ED436" w:rsidR="00EC1E62" w:rsidRDefault="00EC1E62" w:rsidP="004D5702">
      <w:pPr>
        <w:widowControl w:val="0"/>
        <w:spacing w:after="120"/>
      </w:pPr>
      <w:r>
        <w:tab/>
        <w:t>The Planning Board wil</w:t>
      </w:r>
      <w:r w:rsidR="00B24209">
        <w:t>l work with developers and land</w:t>
      </w:r>
      <w:r>
        <w:t>owners when possible to coordinate new access to existing trail networks and also to promote new non-motorized trail networks.</w:t>
      </w:r>
    </w:p>
    <w:p w14:paraId="4A700830" w14:textId="79C3209C" w:rsidR="00B24209" w:rsidRDefault="00B24209" w:rsidP="004D5702">
      <w:pPr>
        <w:widowControl w:val="0"/>
        <w:spacing w:after="120"/>
      </w:pPr>
      <w:r>
        <w:tab/>
        <w:t>The Select Board and Planning Board will jointly consider opportunities to further expand or use the existing snow mobile trail network to enable economic growth.</w:t>
      </w:r>
    </w:p>
    <w:p w14:paraId="4DC70B70" w14:textId="16A1EF56" w:rsidR="00B24209" w:rsidRDefault="00B24209" w:rsidP="004D5702">
      <w:pPr>
        <w:widowControl w:val="0"/>
        <w:spacing w:after="120"/>
      </w:pPr>
      <w:r>
        <w:tab/>
        <w:t>The Select Board and the Planning Board will jointly consider whether it is appropriate, in the Town or community interest, or even feasible to encourage connectivity with the regional all terrain vehicle network.</w:t>
      </w:r>
    </w:p>
    <w:p w14:paraId="680EB0CF" w14:textId="0F888439" w:rsidR="00B24209" w:rsidRDefault="00B24209" w:rsidP="004D5702">
      <w:pPr>
        <w:widowControl w:val="0"/>
        <w:spacing w:after="120"/>
      </w:pPr>
      <w:r>
        <w:tab/>
        <w:t xml:space="preserve">The Select Board will consider options, protecting individual confidentiality, to investigate the level of need or capacity to assist vulnerable households </w:t>
      </w:r>
      <w:r w:rsidR="00E97445">
        <w:t>with improved access (ground transportation services) to regional economic centers (Bangor, Brewer, Ellsworth).</w:t>
      </w:r>
    </w:p>
    <w:p w14:paraId="6BBB7FB2" w14:textId="77777777" w:rsidR="00EF676F" w:rsidRPr="007E2A80" w:rsidRDefault="00EF676F">
      <w:pPr>
        <w:widowControl w:val="0"/>
        <w:spacing w:after="120"/>
      </w:pPr>
    </w:p>
    <w:sectPr w:rsidR="00EF676F" w:rsidRPr="007E2A80" w:rsidSect="00024B44">
      <w:headerReference w:type="default"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C3EFD" w14:textId="77777777" w:rsidR="00410FA7" w:rsidRDefault="00410FA7" w:rsidP="00081E95">
      <w:r>
        <w:separator/>
      </w:r>
    </w:p>
  </w:endnote>
  <w:endnote w:type="continuationSeparator" w:id="0">
    <w:p w14:paraId="64237DBB" w14:textId="77777777" w:rsidR="00410FA7" w:rsidRDefault="00410FA7" w:rsidP="0008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634E" w14:textId="77777777" w:rsidR="006F00BE" w:rsidRDefault="006F00BE" w:rsidP="00423D23">
    <w:pPr>
      <w:pStyle w:val="Normal1"/>
      <w:pBdr>
        <w:top w:val="single" w:sz="4" w:space="1" w:color="000000"/>
        <w:left w:val="nil"/>
        <w:bottom w:val="nil"/>
        <w:right w:val="nil"/>
        <w:between w:val="nil"/>
      </w:pBdr>
      <w:tabs>
        <w:tab w:val="center" w:pos="4320"/>
        <w:tab w:val="right" w:pos="8640"/>
      </w:tabs>
      <w:jc w:val="center"/>
      <w:rPr>
        <w:color w:val="000000"/>
      </w:rPr>
    </w:pPr>
    <w:r w:rsidRPr="007C583C">
      <w:rPr>
        <w:color w:val="000000"/>
      </w:rPr>
      <w:t>Town of Clifton</w:t>
    </w:r>
    <w:r>
      <w:rPr>
        <w:color w:val="000000"/>
      </w:rPr>
      <w:t xml:space="preserve"> - </w:t>
    </w:r>
    <w:r w:rsidRPr="007C583C">
      <w:rPr>
        <w:color w:val="000000"/>
      </w:rPr>
      <w:t>Comprehensive Plan</w:t>
    </w:r>
  </w:p>
  <w:p w14:paraId="52B27B41" w14:textId="3984C1B1" w:rsidR="006F00BE" w:rsidRPr="00423D23" w:rsidRDefault="006F00BE" w:rsidP="00423D23">
    <w:pPr>
      <w:pStyle w:val="Normal1"/>
      <w:pBdr>
        <w:top w:val="nil"/>
        <w:left w:val="nil"/>
        <w:bottom w:val="nil"/>
        <w:right w:val="nil"/>
        <w:between w:val="nil"/>
      </w:pBdr>
      <w:tabs>
        <w:tab w:val="center" w:pos="4320"/>
        <w:tab w:val="right" w:pos="8640"/>
      </w:tabs>
      <w:jc w:val="right"/>
      <w:rPr>
        <w:color w:val="000000"/>
      </w:rPr>
    </w:pPr>
    <w:r w:rsidRPr="0037236A">
      <w:rPr>
        <w:color w:val="000000"/>
      </w:rPr>
      <w:t xml:space="preserve">Page </w:t>
    </w:r>
    <w:r w:rsidRPr="0037236A">
      <w:rPr>
        <w:color w:val="000000"/>
      </w:rPr>
      <w:fldChar w:fldCharType="begin"/>
    </w:r>
    <w:r w:rsidRPr="0037236A">
      <w:rPr>
        <w:color w:val="000000"/>
      </w:rPr>
      <w:instrText>PAGE</w:instrText>
    </w:r>
    <w:r w:rsidRPr="0037236A">
      <w:rPr>
        <w:color w:val="000000"/>
      </w:rPr>
      <w:fldChar w:fldCharType="separate"/>
    </w:r>
    <w:r w:rsidR="00B11844">
      <w:rPr>
        <w:noProof/>
        <w:color w:val="000000"/>
      </w:rPr>
      <w:t>1</w:t>
    </w:r>
    <w:r w:rsidRPr="0037236A">
      <w:rPr>
        <w:color w:val="000000"/>
      </w:rPr>
      <w:fldChar w:fldCharType="end"/>
    </w:r>
    <w:r w:rsidRPr="0037236A">
      <w:rPr>
        <w:color w:val="000000"/>
      </w:rPr>
      <w:t xml:space="preserve"> </w:t>
    </w:r>
    <w:r>
      <w:rPr>
        <w:color w:val="000000"/>
      </w:rPr>
      <w:t>of</w:t>
    </w:r>
    <w:r w:rsidRPr="0037236A">
      <w:rPr>
        <w:color w:val="000000"/>
      </w:rPr>
      <w:t xml:space="preserve"> </w:t>
    </w:r>
    <w:r>
      <w:rPr>
        <w:color w:val="000000"/>
      </w:rPr>
      <w:fldChar w:fldCharType="begin"/>
    </w:r>
    <w:r>
      <w:rPr>
        <w:color w:val="000000"/>
      </w:rPr>
      <w:instrText xml:space="preserve"> NUMPAGES  \* MERGEFORMAT </w:instrText>
    </w:r>
    <w:r>
      <w:rPr>
        <w:color w:val="000000"/>
      </w:rPr>
      <w:fldChar w:fldCharType="separate"/>
    </w:r>
    <w:r w:rsidR="00B11844">
      <w:rPr>
        <w:noProof/>
        <w:color w:val="000000"/>
      </w:rPr>
      <w:t>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6AE1D" w14:textId="77777777" w:rsidR="00410FA7" w:rsidRDefault="00410FA7" w:rsidP="00081E95">
      <w:r>
        <w:separator/>
      </w:r>
    </w:p>
  </w:footnote>
  <w:footnote w:type="continuationSeparator" w:id="0">
    <w:p w14:paraId="4B2B853A" w14:textId="77777777" w:rsidR="00410FA7" w:rsidRDefault="00410FA7" w:rsidP="0008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3736" w14:textId="77777777" w:rsidR="006F00BE" w:rsidRDefault="006F00BE" w:rsidP="00081E95">
    <w:pPr>
      <w:widowControl w:val="0"/>
      <w:pBdr>
        <w:top w:val="nil"/>
        <w:left w:val="nil"/>
        <w:bottom w:val="nil"/>
        <w:right w:val="nil"/>
        <w:between w:val="nil"/>
      </w:pBdr>
      <w:spacing w:line="14" w:lineRule="auto"/>
      <w:rPr>
        <w:color w:val="000000"/>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F00BE" w14:paraId="5D189B89" w14:textId="77777777" w:rsidTr="00081E95">
      <w:tc>
        <w:tcPr>
          <w:tcW w:w="9576" w:type="dxa"/>
        </w:tcPr>
        <w:p w14:paraId="42ACF213" w14:textId="1BAFABD2" w:rsidR="006F00BE" w:rsidRDefault="006F00BE" w:rsidP="00081E95">
          <w:pPr>
            <w:pStyle w:val="Normal1"/>
            <w:tabs>
              <w:tab w:val="right" w:pos="9000"/>
            </w:tabs>
            <w:rPr>
              <w:b/>
            </w:rPr>
          </w:pPr>
          <w:r w:rsidRPr="00257AFC">
            <w:rPr>
              <w:b/>
            </w:rPr>
            <w:t xml:space="preserve">Chapter </w:t>
          </w:r>
          <w:r>
            <w:rPr>
              <w:b/>
            </w:rPr>
            <w:t>8</w:t>
          </w:r>
        </w:p>
        <w:p w14:paraId="7FCFAC79" w14:textId="1C17E78B" w:rsidR="006F00BE" w:rsidRDefault="006F00BE" w:rsidP="002A5238">
          <w:pPr>
            <w:pStyle w:val="Normal1"/>
            <w:tabs>
              <w:tab w:val="right" w:pos="9000"/>
            </w:tabs>
            <w:rPr>
              <w:b/>
            </w:rPr>
          </w:pPr>
          <w:r>
            <w:rPr>
              <w:b/>
              <w:color w:val="000000"/>
            </w:rPr>
            <w:t xml:space="preserve">                                                                                                                                                Transportation</w:t>
          </w:r>
        </w:p>
      </w:tc>
    </w:tr>
  </w:tbl>
  <w:p w14:paraId="1413C119" w14:textId="77777777" w:rsidR="006F00BE" w:rsidRDefault="006F0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FE9F6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37533488"/>
    <w:multiLevelType w:val="multilevel"/>
    <w:tmpl w:val="0228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2F2BF8"/>
    <w:multiLevelType w:val="multilevel"/>
    <w:tmpl w:val="E6A83834"/>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3">
    <w:nsid w:val="52C648B3"/>
    <w:multiLevelType w:val="multilevel"/>
    <w:tmpl w:val="59B4A092"/>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4">
    <w:nsid w:val="592519EA"/>
    <w:multiLevelType w:val="multilevel"/>
    <w:tmpl w:val="B1A8E90A"/>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5">
    <w:nsid w:val="67E86A23"/>
    <w:multiLevelType w:val="multilevel"/>
    <w:tmpl w:val="0772EA8E"/>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6">
    <w:nsid w:val="694D0FD2"/>
    <w:multiLevelType w:val="multilevel"/>
    <w:tmpl w:val="283E4E52"/>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7">
    <w:nsid w:val="71DA052A"/>
    <w:multiLevelType w:val="hybridMultilevel"/>
    <w:tmpl w:val="928EF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B20B71"/>
    <w:multiLevelType w:val="multilevel"/>
    <w:tmpl w:val="39DE50AE"/>
    <w:lvl w:ilvl="0">
      <w:start w:val="1"/>
      <w:numFmt w:val="upperLetter"/>
      <w:lvlText w:val="%1."/>
      <w:lvlJc w:val="left"/>
      <w:pPr>
        <w:ind w:left="140" w:hanging="294"/>
      </w:pPr>
      <w:rPr>
        <w:rFonts w:ascii="Times New Roman" w:eastAsia="Times New Roman" w:hAnsi="Times New Roman" w:cs="Times New Roman"/>
        <w:sz w:val="24"/>
        <w:szCs w:val="24"/>
      </w:rPr>
    </w:lvl>
    <w:lvl w:ilvl="1">
      <w:start w:val="1"/>
      <w:numFmt w:val="bullet"/>
      <w:lvlText w:val="•"/>
      <w:lvlJc w:val="left"/>
      <w:pPr>
        <w:ind w:left="1054" w:hanging="294"/>
      </w:pPr>
    </w:lvl>
    <w:lvl w:ilvl="2">
      <w:start w:val="1"/>
      <w:numFmt w:val="bullet"/>
      <w:lvlText w:val="•"/>
      <w:lvlJc w:val="left"/>
      <w:pPr>
        <w:ind w:left="1968" w:hanging="294"/>
      </w:pPr>
    </w:lvl>
    <w:lvl w:ilvl="3">
      <w:start w:val="1"/>
      <w:numFmt w:val="bullet"/>
      <w:lvlText w:val="•"/>
      <w:lvlJc w:val="left"/>
      <w:pPr>
        <w:ind w:left="2882" w:hanging="294"/>
      </w:pPr>
    </w:lvl>
    <w:lvl w:ilvl="4">
      <w:start w:val="1"/>
      <w:numFmt w:val="bullet"/>
      <w:lvlText w:val="•"/>
      <w:lvlJc w:val="left"/>
      <w:pPr>
        <w:ind w:left="3796" w:hanging="293"/>
      </w:pPr>
    </w:lvl>
    <w:lvl w:ilvl="5">
      <w:start w:val="1"/>
      <w:numFmt w:val="bullet"/>
      <w:lvlText w:val="•"/>
      <w:lvlJc w:val="left"/>
      <w:pPr>
        <w:ind w:left="4710" w:hanging="294"/>
      </w:pPr>
    </w:lvl>
    <w:lvl w:ilvl="6">
      <w:start w:val="1"/>
      <w:numFmt w:val="bullet"/>
      <w:lvlText w:val="•"/>
      <w:lvlJc w:val="left"/>
      <w:pPr>
        <w:ind w:left="5624" w:hanging="294"/>
      </w:pPr>
    </w:lvl>
    <w:lvl w:ilvl="7">
      <w:start w:val="1"/>
      <w:numFmt w:val="bullet"/>
      <w:lvlText w:val="•"/>
      <w:lvlJc w:val="left"/>
      <w:pPr>
        <w:ind w:left="6538" w:hanging="294"/>
      </w:pPr>
    </w:lvl>
    <w:lvl w:ilvl="8">
      <w:start w:val="1"/>
      <w:numFmt w:val="bullet"/>
      <w:lvlText w:val="•"/>
      <w:lvlJc w:val="left"/>
      <w:pPr>
        <w:ind w:left="7452" w:hanging="293"/>
      </w:pPr>
    </w:lvl>
  </w:abstractNum>
  <w:num w:numId="1">
    <w:abstractNumId w:val="4"/>
  </w:num>
  <w:num w:numId="2">
    <w:abstractNumId w:val="5"/>
  </w:num>
  <w:num w:numId="3">
    <w:abstractNumId w:val="6"/>
  </w:num>
  <w:num w:numId="4">
    <w:abstractNumId w:val="8"/>
  </w:num>
  <w:num w:numId="5">
    <w:abstractNumId w:val="3"/>
  </w:num>
  <w:num w:numId="6">
    <w:abstractNumId w:val="2"/>
  </w:num>
  <w:num w:numId="7">
    <w:abstractNumId w:val="0"/>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Johns">
    <w15:presenceInfo w15:providerId="Windows Live" w15:userId="99c310510c88b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95"/>
    <w:rsid w:val="00005E2E"/>
    <w:rsid w:val="00006B89"/>
    <w:rsid w:val="0001018A"/>
    <w:rsid w:val="00011695"/>
    <w:rsid w:val="00011A68"/>
    <w:rsid w:val="00014E6E"/>
    <w:rsid w:val="0002006C"/>
    <w:rsid w:val="00024B44"/>
    <w:rsid w:val="000318B1"/>
    <w:rsid w:val="00034FFC"/>
    <w:rsid w:val="00035114"/>
    <w:rsid w:val="00046013"/>
    <w:rsid w:val="00046C10"/>
    <w:rsid w:val="00047574"/>
    <w:rsid w:val="000605FF"/>
    <w:rsid w:val="00062B38"/>
    <w:rsid w:val="000637D0"/>
    <w:rsid w:val="00067F5B"/>
    <w:rsid w:val="00074F6E"/>
    <w:rsid w:val="00081E95"/>
    <w:rsid w:val="000820C7"/>
    <w:rsid w:val="00087FBB"/>
    <w:rsid w:val="000900C2"/>
    <w:rsid w:val="00090A15"/>
    <w:rsid w:val="00093FEB"/>
    <w:rsid w:val="000951E7"/>
    <w:rsid w:val="000A04F9"/>
    <w:rsid w:val="000A1631"/>
    <w:rsid w:val="000A3950"/>
    <w:rsid w:val="000B4A21"/>
    <w:rsid w:val="000B5155"/>
    <w:rsid w:val="000B5B6D"/>
    <w:rsid w:val="000D1BD3"/>
    <w:rsid w:val="000D39E7"/>
    <w:rsid w:val="000D527F"/>
    <w:rsid w:val="000E3B58"/>
    <w:rsid w:val="000E4148"/>
    <w:rsid w:val="000E542E"/>
    <w:rsid w:val="000F3F4B"/>
    <w:rsid w:val="000F4E16"/>
    <w:rsid w:val="00100684"/>
    <w:rsid w:val="00110F1B"/>
    <w:rsid w:val="001113BD"/>
    <w:rsid w:val="0011179B"/>
    <w:rsid w:val="00111B07"/>
    <w:rsid w:val="00113CA9"/>
    <w:rsid w:val="00122D07"/>
    <w:rsid w:val="00123F34"/>
    <w:rsid w:val="00124419"/>
    <w:rsid w:val="0012761E"/>
    <w:rsid w:val="00131B5E"/>
    <w:rsid w:val="00136EFA"/>
    <w:rsid w:val="001502D1"/>
    <w:rsid w:val="00150789"/>
    <w:rsid w:val="001537DC"/>
    <w:rsid w:val="0016039B"/>
    <w:rsid w:val="00161489"/>
    <w:rsid w:val="00162E2A"/>
    <w:rsid w:val="001634FE"/>
    <w:rsid w:val="001642C3"/>
    <w:rsid w:val="001669DB"/>
    <w:rsid w:val="00166B21"/>
    <w:rsid w:val="00171CC1"/>
    <w:rsid w:val="00173EB6"/>
    <w:rsid w:val="00175374"/>
    <w:rsid w:val="001830BF"/>
    <w:rsid w:val="00187E5F"/>
    <w:rsid w:val="001922D7"/>
    <w:rsid w:val="001953EA"/>
    <w:rsid w:val="00196C87"/>
    <w:rsid w:val="0019718C"/>
    <w:rsid w:val="00197C08"/>
    <w:rsid w:val="001A2079"/>
    <w:rsid w:val="001A57BC"/>
    <w:rsid w:val="001A6445"/>
    <w:rsid w:val="001A6975"/>
    <w:rsid w:val="001C0E4D"/>
    <w:rsid w:val="001C279A"/>
    <w:rsid w:val="001C5851"/>
    <w:rsid w:val="001D21C1"/>
    <w:rsid w:val="001D2D62"/>
    <w:rsid w:val="001D5457"/>
    <w:rsid w:val="001D68B8"/>
    <w:rsid w:val="001E5353"/>
    <w:rsid w:val="00200F89"/>
    <w:rsid w:val="002023D2"/>
    <w:rsid w:val="00202D2B"/>
    <w:rsid w:val="002068D5"/>
    <w:rsid w:val="00212DE0"/>
    <w:rsid w:val="002144AB"/>
    <w:rsid w:val="00215AE0"/>
    <w:rsid w:val="00220548"/>
    <w:rsid w:val="00220EDE"/>
    <w:rsid w:val="00223A00"/>
    <w:rsid w:val="002277A8"/>
    <w:rsid w:val="00231936"/>
    <w:rsid w:val="00232618"/>
    <w:rsid w:val="00234F68"/>
    <w:rsid w:val="0024153C"/>
    <w:rsid w:val="002420CA"/>
    <w:rsid w:val="002451BC"/>
    <w:rsid w:val="00246448"/>
    <w:rsid w:val="00246B30"/>
    <w:rsid w:val="00247D49"/>
    <w:rsid w:val="002507A1"/>
    <w:rsid w:val="00250F1A"/>
    <w:rsid w:val="0025400D"/>
    <w:rsid w:val="0025421F"/>
    <w:rsid w:val="0025518D"/>
    <w:rsid w:val="00263B04"/>
    <w:rsid w:val="002714B9"/>
    <w:rsid w:val="002715D7"/>
    <w:rsid w:val="0027511B"/>
    <w:rsid w:val="002767CB"/>
    <w:rsid w:val="0028265B"/>
    <w:rsid w:val="00285509"/>
    <w:rsid w:val="00293C81"/>
    <w:rsid w:val="002954C2"/>
    <w:rsid w:val="002956CB"/>
    <w:rsid w:val="002A2CCE"/>
    <w:rsid w:val="002A3078"/>
    <w:rsid w:val="002A5238"/>
    <w:rsid w:val="002B0EDE"/>
    <w:rsid w:val="002B287E"/>
    <w:rsid w:val="002B5C97"/>
    <w:rsid w:val="002C1A05"/>
    <w:rsid w:val="002C4643"/>
    <w:rsid w:val="002C4F66"/>
    <w:rsid w:val="002C602D"/>
    <w:rsid w:val="002C66AB"/>
    <w:rsid w:val="002D22EB"/>
    <w:rsid w:val="002E0734"/>
    <w:rsid w:val="002E0A95"/>
    <w:rsid w:val="002E2266"/>
    <w:rsid w:val="002E52CD"/>
    <w:rsid w:val="002F1416"/>
    <w:rsid w:val="002F3CF5"/>
    <w:rsid w:val="00302DA7"/>
    <w:rsid w:val="00302E08"/>
    <w:rsid w:val="00303DFC"/>
    <w:rsid w:val="00314003"/>
    <w:rsid w:val="00321BC4"/>
    <w:rsid w:val="00321D26"/>
    <w:rsid w:val="00325232"/>
    <w:rsid w:val="00330343"/>
    <w:rsid w:val="00333FE2"/>
    <w:rsid w:val="003352F9"/>
    <w:rsid w:val="00340C96"/>
    <w:rsid w:val="00341BB9"/>
    <w:rsid w:val="003425D4"/>
    <w:rsid w:val="00346F3B"/>
    <w:rsid w:val="0035185F"/>
    <w:rsid w:val="0035289B"/>
    <w:rsid w:val="00354944"/>
    <w:rsid w:val="00356040"/>
    <w:rsid w:val="00376375"/>
    <w:rsid w:val="00377D68"/>
    <w:rsid w:val="003806A5"/>
    <w:rsid w:val="0038110A"/>
    <w:rsid w:val="003822FE"/>
    <w:rsid w:val="003870A7"/>
    <w:rsid w:val="00391D4E"/>
    <w:rsid w:val="00392244"/>
    <w:rsid w:val="00392276"/>
    <w:rsid w:val="00394E5F"/>
    <w:rsid w:val="003966DA"/>
    <w:rsid w:val="00396BB6"/>
    <w:rsid w:val="00397B40"/>
    <w:rsid w:val="003A3CC8"/>
    <w:rsid w:val="003A422D"/>
    <w:rsid w:val="003B3307"/>
    <w:rsid w:val="003B45F7"/>
    <w:rsid w:val="003B546F"/>
    <w:rsid w:val="003D45B8"/>
    <w:rsid w:val="003F2417"/>
    <w:rsid w:val="003F2953"/>
    <w:rsid w:val="003F3A52"/>
    <w:rsid w:val="00401116"/>
    <w:rsid w:val="00404C1F"/>
    <w:rsid w:val="0040733D"/>
    <w:rsid w:val="00410DB9"/>
    <w:rsid w:val="00410FA7"/>
    <w:rsid w:val="004110D0"/>
    <w:rsid w:val="004119D1"/>
    <w:rsid w:val="00415305"/>
    <w:rsid w:val="004214BB"/>
    <w:rsid w:val="00421574"/>
    <w:rsid w:val="004230A9"/>
    <w:rsid w:val="004230B4"/>
    <w:rsid w:val="00423D23"/>
    <w:rsid w:val="004245BE"/>
    <w:rsid w:val="00434A71"/>
    <w:rsid w:val="0043511B"/>
    <w:rsid w:val="0043512B"/>
    <w:rsid w:val="00435AE1"/>
    <w:rsid w:val="00436348"/>
    <w:rsid w:val="00442555"/>
    <w:rsid w:val="0044468D"/>
    <w:rsid w:val="00451AA0"/>
    <w:rsid w:val="00453A28"/>
    <w:rsid w:val="00462BDD"/>
    <w:rsid w:val="00467CB7"/>
    <w:rsid w:val="00467F5D"/>
    <w:rsid w:val="0047235C"/>
    <w:rsid w:val="004726AB"/>
    <w:rsid w:val="00473621"/>
    <w:rsid w:val="004769E0"/>
    <w:rsid w:val="00482227"/>
    <w:rsid w:val="0048352D"/>
    <w:rsid w:val="004932EA"/>
    <w:rsid w:val="00495F8E"/>
    <w:rsid w:val="004A63AE"/>
    <w:rsid w:val="004C3A2F"/>
    <w:rsid w:val="004C3C0D"/>
    <w:rsid w:val="004C42C6"/>
    <w:rsid w:val="004D1199"/>
    <w:rsid w:val="004D3966"/>
    <w:rsid w:val="004D3F77"/>
    <w:rsid w:val="004D5702"/>
    <w:rsid w:val="004D72B1"/>
    <w:rsid w:val="004D7634"/>
    <w:rsid w:val="004E2350"/>
    <w:rsid w:val="004E2617"/>
    <w:rsid w:val="004E630C"/>
    <w:rsid w:val="004F2059"/>
    <w:rsid w:val="004F44D9"/>
    <w:rsid w:val="004F533B"/>
    <w:rsid w:val="004F679B"/>
    <w:rsid w:val="004F6857"/>
    <w:rsid w:val="004F75DC"/>
    <w:rsid w:val="0050138F"/>
    <w:rsid w:val="00501F3E"/>
    <w:rsid w:val="0050359F"/>
    <w:rsid w:val="005134DA"/>
    <w:rsid w:val="005152A8"/>
    <w:rsid w:val="00516D52"/>
    <w:rsid w:val="00522662"/>
    <w:rsid w:val="00530A7F"/>
    <w:rsid w:val="00530D36"/>
    <w:rsid w:val="005320CD"/>
    <w:rsid w:val="00542D2F"/>
    <w:rsid w:val="0054305B"/>
    <w:rsid w:val="00544C3B"/>
    <w:rsid w:val="0054649C"/>
    <w:rsid w:val="00547006"/>
    <w:rsid w:val="00547C81"/>
    <w:rsid w:val="00554702"/>
    <w:rsid w:val="005549A1"/>
    <w:rsid w:val="00554ECB"/>
    <w:rsid w:val="00556792"/>
    <w:rsid w:val="00556C1F"/>
    <w:rsid w:val="005606CE"/>
    <w:rsid w:val="00562B81"/>
    <w:rsid w:val="00570D18"/>
    <w:rsid w:val="005766B8"/>
    <w:rsid w:val="005803D0"/>
    <w:rsid w:val="005812B3"/>
    <w:rsid w:val="00585FF4"/>
    <w:rsid w:val="0058791E"/>
    <w:rsid w:val="00591D52"/>
    <w:rsid w:val="00597BAD"/>
    <w:rsid w:val="005A0172"/>
    <w:rsid w:val="005A0283"/>
    <w:rsid w:val="005A3322"/>
    <w:rsid w:val="005B3D2A"/>
    <w:rsid w:val="005C193A"/>
    <w:rsid w:val="005C2AE0"/>
    <w:rsid w:val="005D0047"/>
    <w:rsid w:val="005E0EB3"/>
    <w:rsid w:val="005E27A6"/>
    <w:rsid w:val="005E58CF"/>
    <w:rsid w:val="005F0180"/>
    <w:rsid w:val="005F0EB4"/>
    <w:rsid w:val="005F2AFE"/>
    <w:rsid w:val="005F7B1D"/>
    <w:rsid w:val="00600FFE"/>
    <w:rsid w:val="00602D22"/>
    <w:rsid w:val="006100CA"/>
    <w:rsid w:val="006145AF"/>
    <w:rsid w:val="00615035"/>
    <w:rsid w:val="006177A1"/>
    <w:rsid w:val="006200C8"/>
    <w:rsid w:val="006201DD"/>
    <w:rsid w:val="006232A7"/>
    <w:rsid w:val="00627EB5"/>
    <w:rsid w:val="00633CD0"/>
    <w:rsid w:val="006351E7"/>
    <w:rsid w:val="0063738C"/>
    <w:rsid w:val="006406A5"/>
    <w:rsid w:val="00640B02"/>
    <w:rsid w:val="0064693D"/>
    <w:rsid w:val="00652D7C"/>
    <w:rsid w:val="0065370E"/>
    <w:rsid w:val="00653883"/>
    <w:rsid w:val="00656913"/>
    <w:rsid w:val="00657D2A"/>
    <w:rsid w:val="00662E37"/>
    <w:rsid w:val="00666690"/>
    <w:rsid w:val="006704B9"/>
    <w:rsid w:val="00672219"/>
    <w:rsid w:val="006768E9"/>
    <w:rsid w:val="006775BC"/>
    <w:rsid w:val="006800F2"/>
    <w:rsid w:val="0068165A"/>
    <w:rsid w:val="0069325E"/>
    <w:rsid w:val="00694161"/>
    <w:rsid w:val="006942FE"/>
    <w:rsid w:val="00696791"/>
    <w:rsid w:val="006A76CE"/>
    <w:rsid w:val="006A7875"/>
    <w:rsid w:val="006B0924"/>
    <w:rsid w:val="006B1980"/>
    <w:rsid w:val="006B5EB4"/>
    <w:rsid w:val="006B615B"/>
    <w:rsid w:val="006B7378"/>
    <w:rsid w:val="006B7DCC"/>
    <w:rsid w:val="006C079F"/>
    <w:rsid w:val="006C32D4"/>
    <w:rsid w:val="006C4705"/>
    <w:rsid w:val="006C4FA3"/>
    <w:rsid w:val="006C5031"/>
    <w:rsid w:val="006C582F"/>
    <w:rsid w:val="006D070B"/>
    <w:rsid w:val="006D13B7"/>
    <w:rsid w:val="006D1EF1"/>
    <w:rsid w:val="006D230F"/>
    <w:rsid w:val="006D6383"/>
    <w:rsid w:val="006E5F9D"/>
    <w:rsid w:val="006F00BE"/>
    <w:rsid w:val="006F0CB4"/>
    <w:rsid w:val="006F3DAA"/>
    <w:rsid w:val="006F48DB"/>
    <w:rsid w:val="006F6B8E"/>
    <w:rsid w:val="006F7603"/>
    <w:rsid w:val="007013BC"/>
    <w:rsid w:val="0072096C"/>
    <w:rsid w:val="00721BA0"/>
    <w:rsid w:val="00723F6E"/>
    <w:rsid w:val="00725650"/>
    <w:rsid w:val="007351BB"/>
    <w:rsid w:val="0073528E"/>
    <w:rsid w:val="00735336"/>
    <w:rsid w:val="00735633"/>
    <w:rsid w:val="007501AC"/>
    <w:rsid w:val="00754D2E"/>
    <w:rsid w:val="007605E8"/>
    <w:rsid w:val="00761B87"/>
    <w:rsid w:val="00766E05"/>
    <w:rsid w:val="00770F4C"/>
    <w:rsid w:val="00771AD5"/>
    <w:rsid w:val="0077294B"/>
    <w:rsid w:val="007778C0"/>
    <w:rsid w:val="00780F07"/>
    <w:rsid w:val="0078378D"/>
    <w:rsid w:val="00784933"/>
    <w:rsid w:val="00790BB5"/>
    <w:rsid w:val="00792572"/>
    <w:rsid w:val="00793D3E"/>
    <w:rsid w:val="00794562"/>
    <w:rsid w:val="007A318B"/>
    <w:rsid w:val="007A354E"/>
    <w:rsid w:val="007A6C5A"/>
    <w:rsid w:val="007B27B6"/>
    <w:rsid w:val="007B44B7"/>
    <w:rsid w:val="007B57B6"/>
    <w:rsid w:val="007B596E"/>
    <w:rsid w:val="007B635F"/>
    <w:rsid w:val="007C082A"/>
    <w:rsid w:val="007C6E72"/>
    <w:rsid w:val="007C7A15"/>
    <w:rsid w:val="007D33D2"/>
    <w:rsid w:val="007D6787"/>
    <w:rsid w:val="007E2A80"/>
    <w:rsid w:val="007E5AB2"/>
    <w:rsid w:val="007F0CDF"/>
    <w:rsid w:val="007F3CA3"/>
    <w:rsid w:val="007F52CC"/>
    <w:rsid w:val="00801D23"/>
    <w:rsid w:val="0080329D"/>
    <w:rsid w:val="00807C5D"/>
    <w:rsid w:val="00816038"/>
    <w:rsid w:val="008174CD"/>
    <w:rsid w:val="008255E8"/>
    <w:rsid w:val="00826387"/>
    <w:rsid w:val="008278D4"/>
    <w:rsid w:val="00831ADF"/>
    <w:rsid w:val="0083259F"/>
    <w:rsid w:val="0083478A"/>
    <w:rsid w:val="00834DC5"/>
    <w:rsid w:val="00843A87"/>
    <w:rsid w:val="0084694B"/>
    <w:rsid w:val="008512AB"/>
    <w:rsid w:val="0085308C"/>
    <w:rsid w:val="0085458E"/>
    <w:rsid w:val="00862DF9"/>
    <w:rsid w:val="00863EF5"/>
    <w:rsid w:val="008756B7"/>
    <w:rsid w:val="00875CEB"/>
    <w:rsid w:val="00875F65"/>
    <w:rsid w:val="008845C2"/>
    <w:rsid w:val="00890AFC"/>
    <w:rsid w:val="008961DC"/>
    <w:rsid w:val="008A25B4"/>
    <w:rsid w:val="008A7F11"/>
    <w:rsid w:val="008B18BA"/>
    <w:rsid w:val="008B3E96"/>
    <w:rsid w:val="008B605F"/>
    <w:rsid w:val="008C12DA"/>
    <w:rsid w:val="008C407B"/>
    <w:rsid w:val="008C5AA6"/>
    <w:rsid w:val="008C6C5E"/>
    <w:rsid w:val="008D0C18"/>
    <w:rsid w:val="008D2B10"/>
    <w:rsid w:val="008D3545"/>
    <w:rsid w:val="008E01F5"/>
    <w:rsid w:val="008E08EE"/>
    <w:rsid w:val="008E24AC"/>
    <w:rsid w:val="008E64DD"/>
    <w:rsid w:val="009021FA"/>
    <w:rsid w:val="009051BB"/>
    <w:rsid w:val="00912C63"/>
    <w:rsid w:val="00914601"/>
    <w:rsid w:val="00914BE0"/>
    <w:rsid w:val="00914C9B"/>
    <w:rsid w:val="009244BE"/>
    <w:rsid w:val="00924637"/>
    <w:rsid w:val="00924B2C"/>
    <w:rsid w:val="00933362"/>
    <w:rsid w:val="0093360B"/>
    <w:rsid w:val="00936DE0"/>
    <w:rsid w:val="0094090D"/>
    <w:rsid w:val="00944A31"/>
    <w:rsid w:val="0094502F"/>
    <w:rsid w:val="0094590F"/>
    <w:rsid w:val="009500BF"/>
    <w:rsid w:val="00953323"/>
    <w:rsid w:val="00954E6B"/>
    <w:rsid w:val="00962275"/>
    <w:rsid w:val="00962538"/>
    <w:rsid w:val="00963A75"/>
    <w:rsid w:val="00965424"/>
    <w:rsid w:val="00971CCB"/>
    <w:rsid w:val="00971DC8"/>
    <w:rsid w:val="00976424"/>
    <w:rsid w:val="00976683"/>
    <w:rsid w:val="009775D0"/>
    <w:rsid w:val="009903DF"/>
    <w:rsid w:val="009918F5"/>
    <w:rsid w:val="009929B9"/>
    <w:rsid w:val="00995761"/>
    <w:rsid w:val="009A0B4A"/>
    <w:rsid w:val="009A56BF"/>
    <w:rsid w:val="009A6351"/>
    <w:rsid w:val="009B2FC5"/>
    <w:rsid w:val="009B51DD"/>
    <w:rsid w:val="009C5F35"/>
    <w:rsid w:val="009C6B42"/>
    <w:rsid w:val="009D02AE"/>
    <w:rsid w:val="009D03CF"/>
    <w:rsid w:val="009D18F1"/>
    <w:rsid w:val="009D3785"/>
    <w:rsid w:val="009D37EB"/>
    <w:rsid w:val="009D7982"/>
    <w:rsid w:val="009E021F"/>
    <w:rsid w:val="009E11A6"/>
    <w:rsid w:val="009E25A9"/>
    <w:rsid w:val="009E2631"/>
    <w:rsid w:val="009E7934"/>
    <w:rsid w:val="009F191B"/>
    <w:rsid w:val="009F2C63"/>
    <w:rsid w:val="009F2F1D"/>
    <w:rsid w:val="009F3DA4"/>
    <w:rsid w:val="00A03596"/>
    <w:rsid w:val="00A05A43"/>
    <w:rsid w:val="00A07392"/>
    <w:rsid w:val="00A1045D"/>
    <w:rsid w:val="00A16368"/>
    <w:rsid w:val="00A16845"/>
    <w:rsid w:val="00A16DFB"/>
    <w:rsid w:val="00A17256"/>
    <w:rsid w:val="00A23C9E"/>
    <w:rsid w:val="00A26021"/>
    <w:rsid w:val="00A26045"/>
    <w:rsid w:val="00A33C56"/>
    <w:rsid w:val="00A33D9E"/>
    <w:rsid w:val="00A41BBE"/>
    <w:rsid w:val="00A52018"/>
    <w:rsid w:val="00A5482B"/>
    <w:rsid w:val="00A5796B"/>
    <w:rsid w:val="00A57E15"/>
    <w:rsid w:val="00A66959"/>
    <w:rsid w:val="00A822E6"/>
    <w:rsid w:val="00A84B94"/>
    <w:rsid w:val="00A85A3E"/>
    <w:rsid w:val="00A91757"/>
    <w:rsid w:val="00A9386E"/>
    <w:rsid w:val="00A97C02"/>
    <w:rsid w:val="00AA1B82"/>
    <w:rsid w:val="00AA1F43"/>
    <w:rsid w:val="00AA3316"/>
    <w:rsid w:val="00AA3B98"/>
    <w:rsid w:val="00AA67A4"/>
    <w:rsid w:val="00AA7779"/>
    <w:rsid w:val="00AB4CE4"/>
    <w:rsid w:val="00AC3B2E"/>
    <w:rsid w:val="00AC66C8"/>
    <w:rsid w:val="00AC6C7D"/>
    <w:rsid w:val="00AE2127"/>
    <w:rsid w:val="00AE3640"/>
    <w:rsid w:val="00AE681C"/>
    <w:rsid w:val="00AF0DBF"/>
    <w:rsid w:val="00AF2685"/>
    <w:rsid w:val="00AF754E"/>
    <w:rsid w:val="00B0324C"/>
    <w:rsid w:val="00B06F25"/>
    <w:rsid w:val="00B11844"/>
    <w:rsid w:val="00B12F0F"/>
    <w:rsid w:val="00B13D05"/>
    <w:rsid w:val="00B13E93"/>
    <w:rsid w:val="00B1417E"/>
    <w:rsid w:val="00B15753"/>
    <w:rsid w:val="00B23608"/>
    <w:rsid w:val="00B24209"/>
    <w:rsid w:val="00B279AF"/>
    <w:rsid w:val="00B27E7C"/>
    <w:rsid w:val="00B30DDB"/>
    <w:rsid w:val="00B31287"/>
    <w:rsid w:val="00B40500"/>
    <w:rsid w:val="00B42BC9"/>
    <w:rsid w:val="00B569C3"/>
    <w:rsid w:val="00B61670"/>
    <w:rsid w:val="00B7112D"/>
    <w:rsid w:val="00B72680"/>
    <w:rsid w:val="00B733EC"/>
    <w:rsid w:val="00B738DC"/>
    <w:rsid w:val="00B846E3"/>
    <w:rsid w:val="00B85145"/>
    <w:rsid w:val="00B8789F"/>
    <w:rsid w:val="00B9145B"/>
    <w:rsid w:val="00B91600"/>
    <w:rsid w:val="00B93758"/>
    <w:rsid w:val="00B95E89"/>
    <w:rsid w:val="00B9720F"/>
    <w:rsid w:val="00BA0F81"/>
    <w:rsid w:val="00BA10B0"/>
    <w:rsid w:val="00BA3BB2"/>
    <w:rsid w:val="00BA684D"/>
    <w:rsid w:val="00BC1601"/>
    <w:rsid w:val="00BC377B"/>
    <w:rsid w:val="00BE167B"/>
    <w:rsid w:val="00BE42C8"/>
    <w:rsid w:val="00BE6F5B"/>
    <w:rsid w:val="00BE720B"/>
    <w:rsid w:val="00C0358A"/>
    <w:rsid w:val="00C075F5"/>
    <w:rsid w:val="00C10431"/>
    <w:rsid w:val="00C10767"/>
    <w:rsid w:val="00C114D4"/>
    <w:rsid w:val="00C2044D"/>
    <w:rsid w:val="00C20ED5"/>
    <w:rsid w:val="00C20FC8"/>
    <w:rsid w:val="00C239F4"/>
    <w:rsid w:val="00C27959"/>
    <w:rsid w:val="00C32A04"/>
    <w:rsid w:val="00C331C4"/>
    <w:rsid w:val="00C33B0B"/>
    <w:rsid w:val="00C35445"/>
    <w:rsid w:val="00C35496"/>
    <w:rsid w:val="00C36228"/>
    <w:rsid w:val="00C40103"/>
    <w:rsid w:val="00C52FFD"/>
    <w:rsid w:val="00C53318"/>
    <w:rsid w:val="00C536FB"/>
    <w:rsid w:val="00C53D88"/>
    <w:rsid w:val="00C578CB"/>
    <w:rsid w:val="00C609FB"/>
    <w:rsid w:val="00C61E1C"/>
    <w:rsid w:val="00C64135"/>
    <w:rsid w:val="00C65C35"/>
    <w:rsid w:val="00C70C55"/>
    <w:rsid w:val="00C746F1"/>
    <w:rsid w:val="00C87E10"/>
    <w:rsid w:val="00C90541"/>
    <w:rsid w:val="00C9107F"/>
    <w:rsid w:val="00C91788"/>
    <w:rsid w:val="00C92D41"/>
    <w:rsid w:val="00C97BE9"/>
    <w:rsid w:val="00CA1694"/>
    <w:rsid w:val="00CA617E"/>
    <w:rsid w:val="00CB3158"/>
    <w:rsid w:val="00CB6CEA"/>
    <w:rsid w:val="00CB6F38"/>
    <w:rsid w:val="00CB7E58"/>
    <w:rsid w:val="00CC4B5B"/>
    <w:rsid w:val="00CD44A1"/>
    <w:rsid w:val="00CD4EEA"/>
    <w:rsid w:val="00CD71D1"/>
    <w:rsid w:val="00CD77B0"/>
    <w:rsid w:val="00CE5B9F"/>
    <w:rsid w:val="00CF5B4C"/>
    <w:rsid w:val="00D002E8"/>
    <w:rsid w:val="00D028AD"/>
    <w:rsid w:val="00D1001C"/>
    <w:rsid w:val="00D137DA"/>
    <w:rsid w:val="00D34F8B"/>
    <w:rsid w:val="00D40C47"/>
    <w:rsid w:val="00D45146"/>
    <w:rsid w:val="00D4651F"/>
    <w:rsid w:val="00D50389"/>
    <w:rsid w:val="00D5061D"/>
    <w:rsid w:val="00D50E1B"/>
    <w:rsid w:val="00D55720"/>
    <w:rsid w:val="00D60364"/>
    <w:rsid w:val="00D63334"/>
    <w:rsid w:val="00D7014E"/>
    <w:rsid w:val="00D8706C"/>
    <w:rsid w:val="00D87B3B"/>
    <w:rsid w:val="00D90E34"/>
    <w:rsid w:val="00D912C4"/>
    <w:rsid w:val="00D92D8C"/>
    <w:rsid w:val="00D93C3B"/>
    <w:rsid w:val="00D97BB1"/>
    <w:rsid w:val="00DA2082"/>
    <w:rsid w:val="00DA5706"/>
    <w:rsid w:val="00DB3E81"/>
    <w:rsid w:val="00DC3C89"/>
    <w:rsid w:val="00DC6F1F"/>
    <w:rsid w:val="00DE0E42"/>
    <w:rsid w:val="00DE1E16"/>
    <w:rsid w:val="00DE4A78"/>
    <w:rsid w:val="00DE5E30"/>
    <w:rsid w:val="00DF143F"/>
    <w:rsid w:val="00DF4DC8"/>
    <w:rsid w:val="00DF7686"/>
    <w:rsid w:val="00E04D69"/>
    <w:rsid w:val="00E06D97"/>
    <w:rsid w:val="00E1087F"/>
    <w:rsid w:val="00E17C19"/>
    <w:rsid w:val="00E204C7"/>
    <w:rsid w:val="00E22206"/>
    <w:rsid w:val="00E239BE"/>
    <w:rsid w:val="00E25F67"/>
    <w:rsid w:val="00E31BD8"/>
    <w:rsid w:val="00E3660C"/>
    <w:rsid w:val="00E3702F"/>
    <w:rsid w:val="00E406DE"/>
    <w:rsid w:val="00E4225D"/>
    <w:rsid w:val="00E433E2"/>
    <w:rsid w:val="00E47B29"/>
    <w:rsid w:val="00E5157E"/>
    <w:rsid w:val="00E518C0"/>
    <w:rsid w:val="00E57164"/>
    <w:rsid w:val="00E6210B"/>
    <w:rsid w:val="00E67BD3"/>
    <w:rsid w:val="00E708DE"/>
    <w:rsid w:val="00E71569"/>
    <w:rsid w:val="00E80772"/>
    <w:rsid w:val="00E82BB8"/>
    <w:rsid w:val="00E97445"/>
    <w:rsid w:val="00EA048E"/>
    <w:rsid w:val="00EA72FF"/>
    <w:rsid w:val="00EB094B"/>
    <w:rsid w:val="00EB14EC"/>
    <w:rsid w:val="00EB2FBA"/>
    <w:rsid w:val="00EC12EC"/>
    <w:rsid w:val="00EC1E62"/>
    <w:rsid w:val="00EC3327"/>
    <w:rsid w:val="00ED5D7E"/>
    <w:rsid w:val="00ED6751"/>
    <w:rsid w:val="00ED77BE"/>
    <w:rsid w:val="00EE1BC2"/>
    <w:rsid w:val="00EE48A3"/>
    <w:rsid w:val="00EE4B2B"/>
    <w:rsid w:val="00EE67DA"/>
    <w:rsid w:val="00EF3FB7"/>
    <w:rsid w:val="00EF524B"/>
    <w:rsid w:val="00EF676F"/>
    <w:rsid w:val="00EF77C9"/>
    <w:rsid w:val="00F00049"/>
    <w:rsid w:val="00F018E4"/>
    <w:rsid w:val="00F0378E"/>
    <w:rsid w:val="00F03CB1"/>
    <w:rsid w:val="00F065A5"/>
    <w:rsid w:val="00F07465"/>
    <w:rsid w:val="00F077B4"/>
    <w:rsid w:val="00F13786"/>
    <w:rsid w:val="00F13CC4"/>
    <w:rsid w:val="00F21FC9"/>
    <w:rsid w:val="00F23EFD"/>
    <w:rsid w:val="00F25F4C"/>
    <w:rsid w:val="00F31029"/>
    <w:rsid w:val="00F31E40"/>
    <w:rsid w:val="00F31EB6"/>
    <w:rsid w:val="00F333EB"/>
    <w:rsid w:val="00F36037"/>
    <w:rsid w:val="00F4054F"/>
    <w:rsid w:val="00F428B8"/>
    <w:rsid w:val="00F43CE4"/>
    <w:rsid w:val="00F501A4"/>
    <w:rsid w:val="00F515E4"/>
    <w:rsid w:val="00F52D31"/>
    <w:rsid w:val="00F63BDC"/>
    <w:rsid w:val="00F65010"/>
    <w:rsid w:val="00F651A0"/>
    <w:rsid w:val="00F71812"/>
    <w:rsid w:val="00F71A64"/>
    <w:rsid w:val="00F736EA"/>
    <w:rsid w:val="00F90966"/>
    <w:rsid w:val="00F93072"/>
    <w:rsid w:val="00F949F0"/>
    <w:rsid w:val="00FA0DFB"/>
    <w:rsid w:val="00FA456C"/>
    <w:rsid w:val="00FA5E49"/>
    <w:rsid w:val="00FB0B7E"/>
    <w:rsid w:val="00FB1817"/>
    <w:rsid w:val="00FB522C"/>
    <w:rsid w:val="00FB6BF3"/>
    <w:rsid w:val="00FD23E1"/>
    <w:rsid w:val="00FD4FE4"/>
    <w:rsid w:val="00FD51C3"/>
    <w:rsid w:val="00FD571C"/>
    <w:rsid w:val="00FE341A"/>
    <w:rsid w:val="00FE6A87"/>
    <w:rsid w:val="00FE7115"/>
    <w:rsid w:val="00FF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66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67"/>
    <w:rPr>
      <w:rFonts w:asciiTheme="majorHAnsi" w:eastAsia="Times New Roman" w:hAnsiTheme="majorHAnsi" w:cs="Times New Roman"/>
    </w:rPr>
  </w:style>
  <w:style w:type="paragraph" w:styleId="Heading1">
    <w:name w:val="heading 1"/>
    <w:basedOn w:val="Normal"/>
    <w:next w:val="Normal"/>
    <w:link w:val="Heading1Char"/>
    <w:uiPriority w:val="9"/>
    <w:qFormat/>
    <w:rsid w:val="007E2A80"/>
    <w:pPr>
      <w:widowControl w:val="0"/>
      <w:ind w:left="140"/>
      <w:outlineLvl w:val="0"/>
    </w:pPr>
    <w:rPr>
      <w:b/>
      <w:u w:val="single"/>
    </w:rPr>
  </w:style>
  <w:style w:type="paragraph" w:styleId="Heading2">
    <w:name w:val="heading 2"/>
    <w:basedOn w:val="Normal"/>
    <w:next w:val="Normal"/>
    <w:link w:val="Heading2Char"/>
    <w:uiPriority w:val="9"/>
    <w:semiHidden/>
    <w:unhideWhenUsed/>
    <w:qFormat/>
    <w:rsid w:val="007E2A80"/>
    <w:pPr>
      <w:widowControl w:val="0"/>
      <w:ind w:left="140"/>
      <w:outlineLvl w:val="1"/>
    </w:pPr>
    <w:rPr>
      <w:b/>
      <w:i/>
    </w:rPr>
  </w:style>
  <w:style w:type="paragraph" w:styleId="Heading3">
    <w:name w:val="heading 3"/>
    <w:basedOn w:val="Normal"/>
    <w:next w:val="Normal"/>
    <w:link w:val="Heading3Char"/>
    <w:uiPriority w:val="9"/>
    <w:semiHidden/>
    <w:unhideWhenUsed/>
    <w:qFormat/>
    <w:rsid w:val="007E2A80"/>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7E2A80"/>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7E2A80"/>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7E2A80"/>
    <w:pPr>
      <w:keepNext/>
      <w:keepLines/>
      <w:spacing w:before="200" w:after="40" w:line="259" w:lineRule="auto"/>
      <w:outlineLvl w:val="5"/>
    </w:pPr>
    <w:rPr>
      <w:rFonts w:ascii="Calibri" w:eastAsia="Calibri" w:hAnsi="Calibri" w:cs="Calibri"/>
      <w:b/>
      <w:sz w:val="20"/>
      <w:szCs w:val="20"/>
    </w:rPr>
  </w:style>
  <w:style w:type="paragraph" w:styleId="Heading7">
    <w:name w:val="heading 7"/>
    <w:basedOn w:val="Normal"/>
    <w:next w:val="Normal"/>
    <w:link w:val="Heading7Char"/>
    <w:qFormat/>
    <w:rsid w:val="00DF4DC8"/>
    <w:pPr>
      <w:keepNext/>
      <w:ind w:left="1260" w:hanging="720"/>
      <w:outlineLvl w:val="6"/>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F4DC8"/>
    <w:rPr>
      <w:rFonts w:ascii="Arial" w:eastAsia="Times New Roman" w:hAnsi="Arial" w:cs="Times New Roman"/>
      <w:noProof/>
      <w:sz w:val="22"/>
    </w:rPr>
  </w:style>
  <w:style w:type="paragraph" w:customStyle="1" w:styleId="NN">
    <w:name w:val="N.N"/>
    <w:basedOn w:val="Normal"/>
    <w:qFormat/>
    <w:rsid w:val="00DF4DC8"/>
    <w:pPr>
      <w:ind w:left="720"/>
    </w:pPr>
    <w:rPr>
      <w:rFonts w:ascii="Arial" w:hAnsi="Arial"/>
      <w:sz w:val="22"/>
    </w:rPr>
  </w:style>
  <w:style w:type="paragraph" w:customStyle="1" w:styleId="NNN">
    <w:name w:val="N.N.N"/>
    <w:basedOn w:val="NN"/>
    <w:qFormat/>
    <w:rsid w:val="00DF4DC8"/>
    <w:rPr>
      <w:noProof/>
    </w:rPr>
  </w:style>
  <w:style w:type="paragraph" w:styleId="Header">
    <w:name w:val="header"/>
    <w:basedOn w:val="Normal"/>
    <w:link w:val="HeaderChar"/>
    <w:uiPriority w:val="99"/>
    <w:unhideWhenUsed/>
    <w:rsid w:val="00081E95"/>
    <w:pPr>
      <w:tabs>
        <w:tab w:val="center" w:pos="4320"/>
        <w:tab w:val="right" w:pos="8640"/>
      </w:tabs>
    </w:pPr>
  </w:style>
  <w:style w:type="character" w:customStyle="1" w:styleId="HeaderChar">
    <w:name w:val="Header Char"/>
    <w:basedOn w:val="DefaultParagraphFont"/>
    <w:link w:val="Header"/>
    <w:uiPriority w:val="99"/>
    <w:rsid w:val="00081E95"/>
  </w:style>
  <w:style w:type="paragraph" w:styleId="Footer">
    <w:name w:val="footer"/>
    <w:basedOn w:val="Normal"/>
    <w:link w:val="FooterChar"/>
    <w:uiPriority w:val="99"/>
    <w:unhideWhenUsed/>
    <w:rsid w:val="00081E95"/>
    <w:pPr>
      <w:tabs>
        <w:tab w:val="center" w:pos="4320"/>
        <w:tab w:val="right" w:pos="8640"/>
      </w:tabs>
    </w:pPr>
  </w:style>
  <w:style w:type="character" w:customStyle="1" w:styleId="FooterChar">
    <w:name w:val="Footer Char"/>
    <w:basedOn w:val="DefaultParagraphFont"/>
    <w:link w:val="Footer"/>
    <w:uiPriority w:val="99"/>
    <w:rsid w:val="00081E95"/>
  </w:style>
  <w:style w:type="paragraph" w:customStyle="1" w:styleId="Normal1">
    <w:name w:val="Normal1"/>
    <w:rsid w:val="00C10767"/>
    <w:rPr>
      <w:rFonts w:asciiTheme="majorHAnsi" w:eastAsia="Times New Roman" w:hAnsiTheme="majorHAnsi" w:cs="Times New Roman"/>
    </w:rPr>
  </w:style>
  <w:style w:type="table" w:styleId="TableGrid">
    <w:name w:val="Table Grid"/>
    <w:basedOn w:val="TableNormal"/>
    <w:uiPriority w:val="39"/>
    <w:rsid w:val="00081E9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4CD"/>
    <w:rPr>
      <w:sz w:val="18"/>
      <w:szCs w:val="18"/>
    </w:rPr>
  </w:style>
  <w:style w:type="paragraph" w:styleId="CommentText">
    <w:name w:val="annotation text"/>
    <w:basedOn w:val="Normal"/>
    <w:link w:val="CommentTextChar"/>
    <w:uiPriority w:val="99"/>
    <w:semiHidden/>
    <w:unhideWhenUsed/>
    <w:rsid w:val="008174CD"/>
  </w:style>
  <w:style w:type="character" w:customStyle="1" w:styleId="CommentTextChar">
    <w:name w:val="Comment Text Char"/>
    <w:basedOn w:val="DefaultParagraphFont"/>
    <w:link w:val="CommentText"/>
    <w:uiPriority w:val="99"/>
    <w:semiHidden/>
    <w:rsid w:val="008174C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CD"/>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7E2A80"/>
    <w:rPr>
      <w:rFonts w:ascii="Times New Roman" w:eastAsia="Times New Roman" w:hAnsi="Times New Roman" w:cs="Times New Roman"/>
      <w:b/>
      <w:u w:val="single"/>
    </w:rPr>
  </w:style>
  <w:style w:type="character" w:customStyle="1" w:styleId="Heading2Char">
    <w:name w:val="Heading 2 Char"/>
    <w:basedOn w:val="DefaultParagraphFont"/>
    <w:link w:val="Heading2"/>
    <w:uiPriority w:val="9"/>
    <w:semiHidden/>
    <w:rsid w:val="007E2A80"/>
    <w:rPr>
      <w:rFonts w:ascii="Times New Roman" w:eastAsia="Times New Roman" w:hAnsi="Times New Roman" w:cs="Times New Roman"/>
      <w:b/>
      <w:i/>
    </w:rPr>
  </w:style>
  <w:style w:type="character" w:customStyle="1" w:styleId="Heading3Char">
    <w:name w:val="Heading 3 Char"/>
    <w:basedOn w:val="DefaultParagraphFont"/>
    <w:link w:val="Heading3"/>
    <w:uiPriority w:val="9"/>
    <w:semiHidden/>
    <w:rsid w:val="007E2A80"/>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7E2A80"/>
    <w:rPr>
      <w:rFonts w:ascii="Calibri" w:eastAsia="Calibri" w:hAnsi="Calibri" w:cs="Calibri"/>
      <w:b/>
    </w:rPr>
  </w:style>
  <w:style w:type="character" w:customStyle="1" w:styleId="Heading5Char">
    <w:name w:val="Heading 5 Char"/>
    <w:basedOn w:val="DefaultParagraphFont"/>
    <w:link w:val="Heading5"/>
    <w:uiPriority w:val="9"/>
    <w:semiHidden/>
    <w:rsid w:val="007E2A8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7E2A80"/>
    <w:rPr>
      <w:rFonts w:ascii="Calibri" w:eastAsia="Calibri" w:hAnsi="Calibri" w:cs="Calibri"/>
      <w:b/>
      <w:sz w:val="20"/>
      <w:szCs w:val="20"/>
    </w:rPr>
  </w:style>
  <w:style w:type="paragraph" w:styleId="Title">
    <w:name w:val="Title"/>
    <w:basedOn w:val="Normal"/>
    <w:next w:val="Normal"/>
    <w:link w:val="TitleChar"/>
    <w:uiPriority w:val="10"/>
    <w:qFormat/>
    <w:rsid w:val="007E2A80"/>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7E2A80"/>
    <w:rPr>
      <w:rFonts w:ascii="Calibri" w:eastAsia="Calibri" w:hAnsi="Calibri" w:cs="Calibri"/>
      <w:b/>
      <w:sz w:val="72"/>
      <w:szCs w:val="72"/>
    </w:rPr>
  </w:style>
  <w:style w:type="paragraph" w:styleId="Subtitle">
    <w:name w:val="Subtitle"/>
    <w:basedOn w:val="Normal"/>
    <w:next w:val="Normal"/>
    <w:link w:val="SubtitleChar"/>
    <w:uiPriority w:val="11"/>
    <w:qFormat/>
    <w:rsid w:val="007E2A80"/>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E2A80"/>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7E2A80"/>
    <w:pPr>
      <w:spacing w:after="160"/>
    </w:pPr>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7E2A80"/>
    <w:rPr>
      <w:rFonts w:ascii="Calibri" w:eastAsia="Calibri" w:hAnsi="Calibri" w:cs="Calibri"/>
      <w:b/>
      <w:bCs/>
      <w:sz w:val="20"/>
      <w:szCs w:val="20"/>
    </w:rPr>
  </w:style>
  <w:style w:type="paragraph" w:styleId="ListParagraph">
    <w:name w:val="List Paragraph"/>
    <w:basedOn w:val="Normal"/>
    <w:uiPriority w:val="34"/>
    <w:qFormat/>
    <w:rsid w:val="007E2A80"/>
    <w:pPr>
      <w:spacing w:after="160" w:line="259" w:lineRule="auto"/>
      <w:ind w:left="720"/>
      <w:contextualSpacing/>
    </w:pPr>
    <w:rPr>
      <w:rFonts w:ascii="Calibri" w:eastAsia="Calibri" w:hAnsi="Calibri" w:cs="Calibri"/>
      <w:sz w:val="22"/>
      <w:szCs w:val="22"/>
    </w:rPr>
  </w:style>
  <w:style w:type="paragraph" w:styleId="Revision">
    <w:name w:val="Revision"/>
    <w:hidden/>
    <w:uiPriority w:val="99"/>
    <w:semiHidden/>
    <w:rsid w:val="004214BB"/>
    <w:rPr>
      <w:rFonts w:asciiTheme="majorHAnsi" w:eastAsia="Times New Roman" w:hAnsiTheme="majorHAnsi" w:cs="Times New Roman"/>
    </w:rPr>
  </w:style>
  <w:style w:type="paragraph" w:styleId="NormalWeb">
    <w:name w:val="Normal (Web)"/>
    <w:basedOn w:val="Normal"/>
    <w:uiPriority w:val="99"/>
    <w:semiHidden/>
    <w:unhideWhenUsed/>
    <w:rsid w:val="00AF754E"/>
    <w:pPr>
      <w:spacing w:before="100" w:beforeAutospacing="1" w:after="100" w:afterAutospacing="1"/>
    </w:pPr>
    <w:rPr>
      <w:rFonts w:ascii="Times New Roman" w:eastAsiaTheme="minorEastAsia" w:hAnsi="Times New Roman"/>
      <w:sz w:val="20"/>
      <w:szCs w:val="20"/>
    </w:rPr>
  </w:style>
  <w:style w:type="paragraph" w:customStyle="1" w:styleId="NoteLevel11">
    <w:name w:val="Note Level 11"/>
    <w:basedOn w:val="Normal"/>
    <w:uiPriority w:val="99"/>
    <w:unhideWhenUsed/>
    <w:rsid w:val="00AA67A4"/>
    <w:pPr>
      <w:keepNext/>
      <w:numPr>
        <w:numId w:val="7"/>
      </w:numPr>
      <w:contextualSpacing/>
      <w:outlineLvl w:val="0"/>
    </w:pPr>
    <w:rPr>
      <w:rFonts w:ascii="Verdana" w:hAnsi="Verdana"/>
    </w:rPr>
  </w:style>
  <w:style w:type="paragraph" w:customStyle="1" w:styleId="NoteLevel21">
    <w:name w:val="Note Level 21"/>
    <w:basedOn w:val="Normal"/>
    <w:uiPriority w:val="99"/>
    <w:semiHidden/>
    <w:unhideWhenUsed/>
    <w:rsid w:val="00AA67A4"/>
    <w:pPr>
      <w:keepNext/>
      <w:numPr>
        <w:ilvl w:val="1"/>
        <w:numId w:val="7"/>
      </w:numPr>
      <w:contextualSpacing/>
      <w:outlineLvl w:val="1"/>
    </w:pPr>
    <w:rPr>
      <w:rFonts w:ascii="Verdana" w:hAnsi="Verdana"/>
    </w:rPr>
  </w:style>
  <w:style w:type="paragraph" w:customStyle="1" w:styleId="NoteLevel31">
    <w:name w:val="Note Level 31"/>
    <w:basedOn w:val="Normal"/>
    <w:uiPriority w:val="99"/>
    <w:semiHidden/>
    <w:unhideWhenUsed/>
    <w:rsid w:val="00AA67A4"/>
    <w:pPr>
      <w:keepNext/>
      <w:numPr>
        <w:ilvl w:val="2"/>
        <w:numId w:val="7"/>
      </w:numPr>
      <w:contextualSpacing/>
      <w:outlineLvl w:val="2"/>
    </w:pPr>
    <w:rPr>
      <w:rFonts w:ascii="Verdana" w:hAnsi="Verdana"/>
    </w:rPr>
  </w:style>
  <w:style w:type="paragraph" w:customStyle="1" w:styleId="NoteLevel41">
    <w:name w:val="Note Level 41"/>
    <w:basedOn w:val="Normal"/>
    <w:uiPriority w:val="99"/>
    <w:semiHidden/>
    <w:unhideWhenUsed/>
    <w:rsid w:val="00AA67A4"/>
    <w:pPr>
      <w:keepNext/>
      <w:numPr>
        <w:ilvl w:val="3"/>
        <w:numId w:val="7"/>
      </w:numPr>
      <w:contextualSpacing/>
      <w:outlineLvl w:val="3"/>
    </w:pPr>
    <w:rPr>
      <w:rFonts w:ascii="Verdana" w:hAnsi="Verdana"/>
    </w:rPr>
  </w:style>
  <w:style w:type="paragraph" w:customStyle="1" w:styleId="NoteLevel51">
    <w:name w:val="Note Level 51"/>
    <w:basedOn w:val="Normal"/>
    <w:uiPriority w:val="99"/>
    <w:semiHidden/>
    <w:unhideWhenUsed/>
    <w:rsid w:val="00AA67A4"/>
    <w:pPr>
      <w:keepNext/>
      <w:numPr>
        <w:ilvl w:val="4"/>
        <w:numId w:val="7"/>
      </w:numPr>
      <w:contextualSpacing/>
      <w:outlineLvl w:val="4"/>
    </w:pPr>
    <w:rPr>
      <w:rFonts w:ascii="Verdana" w:hAnsi="Verdana"/>
    </w:rPr>
  </w:style>
  <w:style w:type="paragraph" w:customStyle="1" w:styleId="NoteLevel61">
    <w:name w:val="Note Level 61"/>
    <w:basedOn w:val="Normal"/>
    <w:uiPriority w:val="99"/>
    <w:semiHidden/>
    <w:unhideWhenUsed/>
    <w:rsid w:val="00AA67A4"/>
    <w:pPr>
      <w:keepNext/>
      <w:numPr>
        <w:ilvl w:val="5"/>
        <w:numId w:val="7"/>
      </w:numPr>
      <w:contextualSpacing/>
      <w:outlineLvl w:val="5"/>
    </w:pPr>
    <w:rPr>
      <w:rFonts w:ascii="Verdana" w:hAnsi="Verdana"/>
    </w:rPr>
  </w:style>
  <w:style w:type="paragraph" w:customStyle="1" w:styleId="NoteLevel71">
    <w:name w:val="Note Level 71"/>
    <w:basedOn w:val="Normal"/>
    <w:uiPriority w:val="99"/>
    <w:semiHidden/>
    <w:unhideWhenUsed/>
    <w:rsid w:val="00AA67A4"/>
    <w:pPr>
      <w:keepNext/>
      <w:numPr>
        <w:ilvl w:val="6"/>
        <w:numId w:val="7"/>
      </w:numPr>
      <w:contextualSpacing/>
      <w:outlineLvl w:val="6"/>
    </w:pPr>
    <w:rPr>
      <w:rFonts w:ascii="Verdana" w:hAnsi="Verdana"/>
    </w:rPr>
  </w:style>
  <w:style w:type="paragraph" w:customStyle="1" w:styleId="NoteLevel81">
    <w:name w:val="Note Level 81"/>
    <w:basedOn w:val="Normal"/>
    <w:uiPriority w:val="99"/>
    <w:semiHidden/>
    <w:unhideWhenUsed/>
    <w:rsid w:val="00AA67A4"/>
    <w:pPr>
      <w:keepNext/>
      <w:numPr>
        <w:ilvl w:val="7"/>
        <w:numId w:val="7"/>
      </w:numPr>
      <w:contextualSpacing/>
      <w:outlineLvl w:val="7"/>
    </w:pPr>
    <w:rPr>
      <w:rFonts w:ascii="Verdana" w:hAnsi="Verdana"/>
    </w:rPr>
  </w:style>
  <w:style w:type="paragraph" w:customStyle="1" w:styleId="NoteLevel91">
    <w:name w:val="Note Level 91"/>
    <w:basedOn w:val="Normal"/>
    <w:uiPriority w:val="99"/>
    <w:semiHidden/>
    <w:unhideWhenUsed/>
    <w:rsid w:val="00AA67A4"/>
    <w:pPr>
      <w:keepNext/>
      <w:numPr>
        <w:ilvl w:val="8"/>
        <w:numId w:val="7"/>
      </w:numPr>
      <w:contextualSpacing/>
      <w:outlineLvl w:val="8"/>
    </w:pPr>
    <w:rPr>
      <w:rFonts w:ascii="Verdana" w:hAnsi="Verdana"/>
    </w:rPr>
  </w:style>
  <w:style w:type="character" w:styleId="Hyperlink">
    <w:name w:val="Hyperlink"/>
    <w:basedOn w:val="DefaultParagraphFont"/>
    <w:uiPriority w:val="99"/>
    <w:unhideWhenUsed/>
    <w:rsid w:val="002A3078"/>
    <w:rPr>
      <w:color w:val="0000FF" w:themeColor="hyperlink"/>
      <w:u w:val="single"/>
    </w:rPr>
  </w:style>
  <w:style w:type="paragraph" w:styleId="Caption">
    <w:name w:val="caption"/>
    <w:basedOn w:val="Normal"/>
    <w:next w:val="Normal"/>
    <w:uiPriority w:val="35"/>
    <w:unhideWhenUsed/>
    <w:qFormat/>
    <w:rsid w:val="00410DB9"/>
    <w:pPr>
      <w:spacing w:after="200"/>
    </w:pPr>
    <w:rPr>
      <w:b/>
      <w:bCs/>
      <w:color w:val="4F81BD" w:themeColor="accent1"/>
      <w:sz w:val="18"/>
      <w:szCs w:val="18"/>
    </w:rPr>
  </w:style>
  <w:style w:type="paragraph" w:customStyle="1" w:styleId="TableParagraph">
    <w:name w:val="Table Paragraph"/>
    <w:basedOn w:val="Normal"/>
    <w:uiPriority w:val="1"/>
    <w:qFormat/>
    <w:rsid w:val="00A07392"/>
    <w:pPr>
      <w:widowControl w:val="0"/>
      <w:autoSpaceDE w:val="0"/>
      <w:autoSpaceDN w:val="0"/>
      <w:spacing w:line="210" w:lineRule="exact"/>
      <w:jc w:val="center"/>
    </w:pPr>
    <w:rPr>
      <w:rFonts w:ascii="Times New Roman" w:hAnsi="Times New Roman"/>
      <w:sz w:val="22"/>
      <w:szCs w:val="22"/>
    </w:rPr>
  </w:style>
  <w:style w:type="character" w:customStyle="1" w:styleId="lrdctph">
    <w:name w:val="lr_dct_ph"/>
    <w:basedOn w:val="DefaultParagraphFont"/>
    <w:rsid w:val="00723F6E"/>
  </w:style>
  <w:style w:type="character" w:customStyle="1" w:styleId="lrdctspkr">
    <w:name w:val="lr_dct_spkr"/>
    <w:basedOn w:val="DefaultParagraphFont"/>
    <w:rsid w:val="00723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67"/>
    <w:rPr>
      <w:rFonts w:asciiTheme="majorHAnsi" w:eastAsia="Times New Roman" w:hAnsiTheme="majorHAnsi" w:cs="Times New Roman"/>
    </w:rPr>
  </w:style>
  <w:style w:type="paragraph" w:styleId="Heading1">
    <w:name w:val="heading 1"/>
    <w:basedOn w:val="Normal"/>
    <w:next w:val="Normal"/>
    <w:link w:val="Heading1Char"/>
    <w:uiPriority w:val="9"/>
    <w:qFormat/>
    <w:rsid w:val="007E2A80"/>
    <w:pPr>
      <w:widowControl w:val="0"/>
      <w:ind w:left="140"/>
      <w:outlineLvl w:val="0"/>
    </w:pPr>
    <w:rPr>
      <w:b/>
      <w:u w:val="single"/>
    </w:rPr>
  </w:style>
  <w:style w:type="paragraph" w:styleId="Heading2">
    <w:name w:val="heading 2"/>
    <w:basedOn w:val="Normal"/>
    <w:next w:val="Normal"/>
    <w:link w:val="Heading2Char"/>
    <w:uiPriority w:val="9"/>
    <w:semiHidden/>
    <w:unhideWhenUsed/>
    <w:qFormat/>
    <w:rsid w:val="007E2A80"/>
    <w:pPr>
      <w:widowControl w:val="0"/>
      <w:ind w:left="140"/>
      <w:outlineLvl w:val="1"/>
    </w:pPr>
    <w:rPr>
      <w:b/>
      <w:i/>
    </w:rPr>
  </w:style>
  <w:style w:type="paragraph" w:styleId="Heading3">
    <w:name w:val="heading 3"/>
    <w:basedOn w:val="Normal"/>
    <w:next w:val="Normal"/>
    <w:link w:val="Heading3Char"/>
    <w:uiPriority w:val="9"/>
    <w:semiHidden/>
    <w:unhideWhenUsed/>
    <w:qFormat/>
    <w:rsid w:val="007E2A80"/>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7E2A80"/>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7E2A80"/>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7E2A80"/>
    <w:pPr>
      <w:keepNext/>
      <w:keepLines/>
      <w:spacing w:before="200" w:after="40" w:line="259" w:lineRule="auto"/>
      <w:outlineLvl w:val="5"/>
    </w:pPr>
    <w:rPr>
      <w:rFonts w:ascii="Calibri" w:eastAsia="Calibri" w:hAnsi="Calibri" w:cs="Calibri"/>
      <w:b/>
      <w:sz w:val="20"/>
      <w:szCs w:val="20"/>
    </w:rPr>
  </w:style>
  <w:style w:type="paragraph" w:styleId="Heading7">
    <w:name w:val="heading 7"/>
    <w:basedOn w:val="Normal"/>
    <w:next w:val="Normal"/>
    <w:link w:val="Heading7Char"/>
    <w:qFormat/>
    <w:rsid w:val="00DF4DC8"/>
    <w:pPr>
      <w:keepNext/>
      <w:ind w:left="1260" w:hanging="720"/>
      <w:outlineLvl w:val="6"/>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F4DC8"/>
    <w:rPr>
      <w:rFonts w:ascii="Arial" w:eastAsia="Times New Roman" w:hAnsi="Arial" w:cs="Times New Roman"/>
      <w:noProof/>
      <w:sz w:val="22"/>
    </w:rPr>
  </w:style>
  <w:style w:type="paragraph" w:customStyle="1" w:styleId="NN">
    <w:name w:val="N.N"/>
    <w:basedOn w:val="Normal"/>
    <w:qFormat/>
    <w:rsid w:val="00DF4DC8"/>
    <w:pPr>
      <w:ind w:left="720"/>
    </w:pPr>
    <w:rPr>
      <w:rFonts w:ascii="Arial" w:hAnsi="Arial"/>
      <w:sz w:val="22"/>
    </w:rPr>
  </w:style>
  <w:style w:type="paragraph" w:customStyle="1" w:styleId="NNN">
    <w:name w:val="N.N.N"/>
    <w:basedOn w:val="NN"/>
    <w:qFormat/>
    <w:rsid w:val="00DF4DC8"/>
    <w:rPr>
      <w:noProof/>
    </w:rPr>
  </w:style>
  <w:style w:type="paragraph" w:styleId="Header">
    <w:name w:val="header"/>
    <w:basedOn w:val="Normal"/>
    <w:link w:val="HeaderChar"/>
    <w:uiPriority w:val="99"/>
    <w:unhideWhenUsed/>
    <w:rsid w:val="00081E95"/>
    <w:pPr>
      <w:tabs>
        <w:tab w:val="center" w:pos="4320"/>
        <w:tab w:val="right" w:pos="8640"/>
      </w:tabs>
    </w:pPr>
  </w:style>
  <w:style w:type="character" w:customStyle="1" w:styleId="HeaderChar">
    <w:name w:val="Header Char"/>
    <w:basedOn w:val="DefaultParagraphFont"/>
    <w:link w:val="Header"/>
    <w:uiPriority w:val="99"/>
    <w:rsid w:val="00081E95"/>
  </w:style>
  <w:style w:type="paragraph" w:styleId="Footer">
    <w:name w:val="footer"/>
    <w:basedOn w:val="Normal"/>
    <w:link w:val="FooterChar"/>
    <w:uiPriority w:val="99"/>
    <w:unhideWhenUsed/>
    <w:rsid w:val="00081E95"/>
    <w:pPr>
      <w:tabs>
        <w:tab w:val="center" w:pos="4320"/>
        <w:tab w:val="right" w:pos="8640"/>
      </w:tabs>
    </w:pPr>
  </w:style>
  <w:style w:type="character" w:customStyle="1" w:styleId="FooterChar">
    <w:name w:val="Footer Char"/>
    <w:basedOn w:val="DefaultParagraphFont"/>
    <w:link w:val="Footer"/>
    <w:uiPriority w:val="99"/>
    <w:rsid w:val="00081E95"/>
  </w:style>
  <w:style w:type="paragraph" w:customStyle="1" w:styleId="Normal1">
    <w:name w:val="Normal1"/>
    <w:rsid w:val="00C10767"/>
    <w:rPr>
      <w:rFonts w:asciiTheme="majorHAnsi" w:eastAsia="Times New Roman" w:hAnsiTheme="majorHAnsi" w:cs="Times New Roman"/>
    </w:rPr>
  </w:style>
  <w:style w:type="table" w:styleId="TableGrid">
    <w:name w:val="Table Grid"/>
    <w:basedOn w:val="TableNormal"/>
    <w:uiPriority w:val="39"/>
    <w:rsid w:val="00081E9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4CD"/>
    <w:rPr>
      <w:sz w:val="18"/>
      <w:szCs w:val="18"/>
    </w:rPr>
  </w:style>
  <w:style w:type="paragraph" w:styleId="CommentText">
    <w:name w:val="annotation text"/>
    <w:basedOn w:val="Normal"/>
    <w:link w:val="CommentTextChar"/>
    <w:uiPriority w:val="99"/>
    <w:semiHidden/>
    <w:unhideWhenUsed/>
    <w:rsid w:val="008174CD"/>
  </w:style>
  <w:style w:type="character" w:customStyle="1" w:styleId="CommentTextChar">
    <w:name w:val="Comment Text Char"/>
    <w:basedOn w:val="DefaultParagraphFont"/>
    <w:link w:val="CommentText"/>
    <w:uiPriority w:val="99"/>
    <w:semiHidden/>
    <w:rsid w:val="008174C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CD"/>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7E2A80"/>
    <w:rPr>
      <w:rFonts w:ascii="Times New Roman" w:eastAsia="Times New Roman" w:hAnsi="Times New Roman" w:cs="Times New Roman"/>
      <w:b/>
      <w:u w:val="single"/>
    </w:rPr>
  </w:style>
  <w:style w:type="character" w:customStyle="1" w:styleId="Heading2Char">
    <w:name w:val="Heading 2 Char"/>
    <w:basedOn w:val="DefaultParagraphFont"/>
    <w:link w:val="Heading2"/>
    <w:uiPriority w:val="9"/>
    <w:semiHidden/>
    <w:rsid w:val="007E2A80"/>
    <w:rPr>
      <w:rFonts w:ascii="Times New Roman" w:eastAsia="Times New Roman" w:hAnsi="Times New Roman" w:cs="Times New Roman"/>
      <w:b/>
      <w:i/>
    </w:rPr>
  </w:style>
  <w:style w:type="character" w:customStyle="1" w:styleId="Heading3Char">
    <w:name w:val="Heading 3 Char"/>
    <w:basedOn w:val="DefaultParagraphFont"/>
    <w:link w:val="Heading3"/>
    <w:uiPriority w:val="9"/>
    <w:semiHidden/>
    <w:rsid w:val="007E2A80"/>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7E2A80"/>
    <w:rPr>
      <w:rFonts w:ascii="Calibri" w:eastAsia="Calibri" w:hAnsi="Calibri" w:cs="Calibri"/>
      <w:b/>
    </w:rPr>
  </w:style>
  <w:style w:type="character" w:customStyle="1" w:styleId="Heading5Char">
    <w:name w:val="Heading 5 Char"/>
    <w:basedOn w:val="DefaultParagraphFont"/>
    <w:link w:val="Heading5"/>
    <w:uiPriority w:val="9"/>
    <w:semiHidden/>
    <w:rsid w:val="007E2A8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7E2A80"/>
    <w:rPr>
      <w:rFonts w:ascii="Calibri" w:eastAsia="Calibri" w:hAnsi="Calibri" w:cs="Calibri"/>
      <w:b/>
      <w:sz w:val="20"/>
      <w:szCs w:val="20"/>
    </w:rPr>
  </w:style>
  <w:style w:type="paragraph" w:styleId="Title">
    <w:name w:val="Title"/>
    <w:basedOn w:val="Normal"/>
    <w:next w:val="Normal"/>
    <w:link w:val="TitleChar"/>
    <w:uiPriority w:val="10"/>
    <w:qFormat/>
    <w:rsid w:val="007E2A80"/>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7E2A80"/>
    <w:rPr>
      <w:rFonts w:ascii="Calibri" w:eastAsia="Calibri" w:hAnsi="Calibri" w:cs="Calibri"/>
      <w:b/>
      <w:sz w:val="72"/>
      <w:szCs w:val="72"/>
    </w:rPr>
  </w:style>
  <w:style w:type="paragraph" w:styleId="Subtitle">
    <w:name w:val="Subtitle"/>
    <w:basedOn w:val="Normal"/>
    <w:next w:val="Normal"/>
    <w:link w:val="SubtitleChar"/>
    <w:uiPriority w:val="11"/>
    <w:qFormat/>
    <w:rsid w:val="007E2A80"/>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E2A80"/>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7E2A80"/>
    <w:pPr>
      <w:spacing w:after="160"/>
    </w:pPr>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7E2A80"/>
    <w:rPr>
      <w:rFonts w:ascii="Calibri" w:eastAsia="Calibri" w:hAnsi="Calibri" w:cs="Calibri"/>
      <w:b/>
      <w:bCs/>
      <w:sz w:val="20"/>
      <w:szCs w:val="20"/>
    </w:rPr>
  </w:style>
  <w:style w:type="paragraph" w:styleId="ListParagraph">
    <w:name w:val="List Paragraph"/>
    <w:basedOn w:val="Normal"/>
    <w:uiPriority w:val="34"/>
    <w:qFormat/>
    <w:rsid w:val="007E2A80"/>
    <w:pPr>
      <w:spacing w:after="160" w:line="259" w:lineRule="auto"/>
      <w:ind w:left="720"/>
      <w:contextualSpacing/>
    </w:pPr>
    <w:rPr>
      <w:rFonts w:ascii="Calibri" w:eastAsia="Calibri" w:hAnsi="Calibri" w:cs="Calibri"/>
      <w:sz w:val="22"/>
      <w:szCs w:val="22"/>
    </w:rPr>
  </w:style>
  <w:style w:type="paragraph" w:styleId="Revision">
    <w:name w:val="Revision"/>
    <w:hidden/>
    <w:uiPriority w:val="99"/>
    <w:semiHidden/>
    <w:rsid w:val="004214BB"/>
    <w:rPr>
      <w:rFonts w:asciiTheme="majorHAnsi" w:eastAsia="Times New Roman" w:hAnsiTheme="majorHAnsi" w:cs="Times New Roman"/>
    </w:rPr>
  </w:style>
  <w:style w:type="paragraph" w:styleId="NormalWeb">
    <w:name w:val="Normal (Web)"/>
    <w:basedOn w:val="Normal"/>
    <w:uiPriority w:val="99"/>
    <w:semiHidden/>
    <w:unhideWhenUsed/>
    <w:rsid w:val="00AF754E"/>
    <w:pPr>
      <w:spacing w:before="100" w:beforeAutospacing="1" w:after="100" w:afterAutospacing="1"/>
    </w:pPr>
    <w:rPr>
      <w:rFonts w:ascii="Times New Roman" w:eastAsiaTheme="minorEastAsia" w:hAnsi="Times New Roman"/>
      <w:sz w:val="20"/>
      <w:szCs w:val="20"/>
    </w:rPr>
  </w:style>
  <w:style w:type="paragraph" w:customStyle="1" w:styleId="NoteLevel11">
    <w:name w:val="Note Level 11"/>
    <w:basedOn w:val="Normal"/>
    <w:uiPriority w:val="99"/>
    <w:unhideWhenUsed/>
    <w:rsid w:val="00AA67A4"/>
    <w:pPr>
      <w:keepNext/>
      <w:numPr>
        <w:numId w:val="7"/>
      </w:numPr>
      <w:contextualSpacing/>
      <w:outlineLvl w:val="0"/>
    </w:pPr>
    <w:rPr>
      <w:rFonts w:ascii="Verdana" w:hAnsi="Verdana"/>
    </w:rPr>
  </w:style>
  <w:style w:type="paragraph" w:customStyle="1" w:styleId="NoteLevel21">
    <w:name w:val="Note Level 21"/>
    <w:basedOn w:val="Normal"/>
    <w:uiPriority w:val="99"/>
    <w:semiHidden/>
    <w:unhideWhenUsed/>
    <w:rsid w:val="00AA67A4"/>
    <w:pPr>
      <w:keepNext/>
      <w:numPr>
        <w:ilvl w:val="1"/>
        <w:numId w:val="7"/>
      </w:numPr>
      <w:contextualSpacing/>
      <w:outlineLvl w:val="1"/>
    </w:pPr>
    <w:rPr>
      <w:rFonts w:ascii="Verdana" w:hAnsi="Verdana"/>
    </w:rPr>
  </w:style>
  <w:style w:type="paragraph" w:customStyle="1" w:styleId="NoteLevel31">
    <w:name w:val="Note Level 31"/>
    <w:basedOn w:val="Normal"/>
    <w:uiPriority w:val="99"/>
    <w:semiHidden/>
    <w:unhideWhenUsed/>
    <w:rsid w:val="00AA67A4"/>
    <w:pPr>
      <w:keepNext/>
      <w:numPr>
        <w:ilvl w:val="2"/>
        <w:numId w:val="7"/>
      </w:numPr>
      <w:contextualSpacing/>
      <w:outlineLvl w:val="2"/>
    </w:pPr>
    <w:rPr>
      <w:rFonts w:ascii="Verdana" w:hAnsi="Verdana"/>
    </w:rPr>
  </w:style>
  <w:style w:type="paragraph" w:customStyle="1" w:styleId="NoteLevel41">
    <w:name w:val="Note Level 41"/>
    <w:basedOn w:val="Normal"/>
    <w:uiPriority w:val="99"/>
    <w:semiHidden/>
    <w:unhideWhenUsed/>
    <w:rsid w:val="00AA67A4"/>
    <w:pPr>
      <w:keepNext/>
      <w:numPr>
        <w:ilvl w:val="3"/>
        <w:numId w:val="7"/>
      </w:numPr>
      <w:contextualSpacing/>
      <w:outlineLvl w:val="3"/>
    </w:pPr>
    <w:rPr>
      <w:rFonts w:ascii="Verdana" w:hAnsi="Verdana"/>
    </w:rPr>
  </w:style>
  <w:style w:type="paragraph" w:customStyle="1" w:styleId="NoteLevel51">
    <w:name w:val="Note Level 51"/>
    <w:basedOn w:val="Normal"/>
    <w:uiPriority w:val="99"/>
    <w:semiHidden/>
    <w:unhideWhenUsed/>
    <w:rsid w:val="00AA67A4"/>
    <w:pPr>
      <w:keepNext/>
      <w:numPr>
        <w:ilvl w:val="4"/>
        <w:numId w:val="7"/>
      </w:numPr>
      <w:contextualSpacing/>
      <w:outlineLvl w:val="4"/>
    </w:pPr>
    <w:rPr>
      <w:rFonts w:ascii="Verdana" w:hAnsi="Verdana"/>
    </w:rPr>
  </w:style>
  <w:style w:type="paragraph" w:customStyle="1" w:styleId="NoteLevel61">
    <w:name w:val="Note Level 61"/>
    <w:basedOn w:val="Normal"/>
    <w:uiPriority w:val="99"/>
    <w:semiHidden/>
    <w:unhideWhenUsed/>
    <w:rsid w:val="00AA67A4"/>
    <w:pPr>
      <w:keepNext/>
      <w:numPr>
        <w:ilvl w:val="5"/>
        <w:numId w:val="7"/>
      </w:numPr>
      <w:contextualSpacing/>
      <w:outlineLvl w:val="5"/>
    </w:pPr>
    <w:rPr>
      <w:rFonts w:ascii="Verdana" w:hAnsi="Verdana"/>
    </w:rPr>
  </w:style>
  <w:style w:type="paragraph" w:customStyle="1" w:styleId="NoteLevel71">
    <w:name w:val="Note Level 71"/>
    <w:basedOn w:val="Normal"/>
    <w:uiPriority w:val="99"/>
    <w:semiHidden/>
    <w:unhideWhenUsed/>
    <w:rsid w:val="00AA67A4"/>
    <w:pPr>
      <w:keepNext/>
      <w:numPr>
        <w:ilvl w:val="6"/>
        <w:numId w:val="7"/>
      </w:numPr>
      <w:contextualSpacing/>
      <w:outlineLvl w:val="6"/>
    </w:pPr>
    <w:rPr>
      <w:rFonts w:ascii="Verdana" w:hAnsi="Verdana"/>
    </w:rPr>
  </w:style>
  <w:style w:type="paragraph" w:customStyle="1" w:styleId="NoteLevel81">
    <w:name w:val="Note Level 81"/>
    <w:basedOn w:val="Normal"/>
    <w:uiPriority w:val="99"/>
    <w:semiHidden/>
    <w:unhideWhenUsed/>
    <w:rsid w:val="00AA67A4"/>
    <w:pPr>
      <w:keepNext/>
      <w:numPr>
        <w:ilvl w:val="7"/>
        <w:numId w:val="7"/>
      </w:numPr>
      <w:contextualSpacing/>
      <w:outlineLvl w:val="7"/>
    </w:pPr>
    <w:rPr>
      <w:rFonts w:ascii="Verdana" w:hAnsi="Verdana"/>
    </w:rPr>
  </w:style>
  <w:style w:type="paragraph" w:customStyle="1" w:styleId="NoteLevel91">
    <w:name w:val="Note Level 91"/>
    <w:basedOn w:val="Normal"/>
    <w:uiPriority w:val="99"/>
    <w:semiHidden/>
    <w:unhideWhenUsed/>
    <w:rsid w:val="00AA67A4"/>
    <w:pPr>
      <w:keepNext/>
      <w:numPr>
        <w:ilvl w:val="8"/>
        <w:numId w:val="7"/>
      </w:numPr>
      <w:contextualSpacing/>
      <w:outlineLvl w:val="8"/>
    </w:pPr>
    <w:rPr>
      <w:rFonts w:ascii="Verdana" w:hAnsi="Verdana"/>
    </w:rPr>
  </w:style>
  <w:style w:type="character" w:styleId="Hyperlink">
    <w:name w:val="Hyperlink"/>
    <w:basedOn w:val="DefaultParagraphFont"/>
    <w:uiPriority w:val="99"/>
    <w:unhideWhenUsed/>
    <w:rsid w:val="002A3078"/>
    <w:rPr>
      <w:color w:val="0000FF" w:themeColor="hyperlink"/>
      <w:u w:val="single"/>
    </w:rPr>
  </w:style>
  <w:style w:type="paragraph" w:styleId="Caption">
    <w:name w:val="caption"/>
    <w:basedOn w:val="Normal"/>
    <w:next w:val="Normal"/>
    <w:uiPriority w:val="35"/>
    <w:unhideWhenUsed/>
    <w:qFormat/>
    <w:rsid w:val="00410DB9"/>
    <w:pPr>
      <w:spacing w:after="200"/>
    </w:pPr>
    <w:rPr>
      <w:b/>
      <w:bCs/>
      <w:color w:val="4F81BD" w:themeColor="accent1"/>
      <w:sz w:val="18"/>
      <w:szCs w:val="18"/>
    </w:rPr>
  </w:style>
  <w:style w:type="paragraph" w:customStyle="1" w:styleId="TableParagraph">
    <w:name w:val="Table Paragraph"/>
    <w:basedOn w:val="Normal"/>
    <w:uiPriority w:val="1"/>
    <w:qFormat/>
    <w:rsid w:val="00A07392"/>
    <w:pPr>
      <w:widowControl w:val="0"/>
      <w:autoSpaceDE w:val="0"/>
      <w:autoSpaceDN w:val="0"/>
      <w:spacing w:line="210" w:lineRule="exact"/>
      <w:jc w:val="center"/>
    </w:pPr>
    <w:rPr>
      <w:rFonts w:ascii="Times New Roman" w:hAnsi="Times New Roman"/>
      <w:sz w:val="22"/>
      <w:szCs w:val="22"/>
    </w:rPr>
  </w:style>
  <w:style w:type="character" w:customStyle="1" w:styleId="lrdctph">
    <w:name w:val="lr_dct_ph"/>
    <w:basedOn w:val="DefaultParagraphFont"/>
    <w:rsid w:val="00723F6E"/>
  </w:style>
  <w:style w:type="character" w:customStyle="1" w:styleId="lrdctspkr">
    <w:name w:val="lr_dct_spkr"/>
    <w:basedOn w:val="DefaultParagraphFont"/>
    <w:rsid w:val="0072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5831">
      <w:bodyDiv w:val="1"/>
      <w:marLeft w:val="0"/>
      <w:marRight w:val="0"/>
      <w:marTop w:val="0"/>
      <w:marBottom w:val="0"/>
      <w:divBdr>
        <w:top w:val="none" w:sz="0" w:space="0" w:color="auto"/>
        <w:left w:val="none" w:sz="0" w:space="0" w:color="auto"/>
        <w:bottom w:val="none" w:sz="0" w:space="0" w:color="auto"/>
        <w:right w:val="none" w:sz="0" w:space="0" w:color="auto"/>
      </w:divBdr>
    </w:div>
    <w:div w:id="71120387">
      <w:bodyDiv w:val="1"/>
      <w:marLeft w:val="0"/>
      <w:marRight w:val="0"/>
      <w:marTop w:val="0"/>
      <w:marBottom w:val="0"/>
      <w:divBdr>
        <w:top w:val="none" w:sz="0" w:space="0" w:color="auto"/>
        <w:left w:val="none" w:sz="0" w:space="0" w:color="auto"/>
        <w:bottom w:val="none" w:sz="0" w:space="0" w:color="auto"/>
        <w:right w:val="none" w:sz="0" w:space="0" w:color="auto"/>
      </w:divBdr>
    </w:div>
    <w:div w:id="92164940">
      <w:bodyDiv w:val="1"/>
      <w:marLeft w:val="0"/>
      <w:marRight w:val="0"/>
      <w:marTop w:val="0"/>
      <w:marBottom w:val="0"/>
      <w:divBdr>
        <w:top w:val="none" w:sz="0" w:space="0" w:color="auto"/>
        <w:left w:val="none" w:sz="0" w:space="0" w:color="auto"/>
        <w:bottom w:val="none" w:sz="0" w:space="0" w:color="auto"/>
        <w:right w:val="none" w:sz="0" w:space="0" w:color="auto"/>
      </w:divBdr>
    </w:div>
    <w:div w:id="135494660">
      <w:bodyDiv w:val="1"/>
      <w:marLeft w:val="0"/>
      <w:marRight w:val="0"/>
      <w:marTop w:val="0"/>
      <w:marBottom w:val="0"/>
      <w:divBdr>
        <w:top w:val="none" w:sz="0" w:space="0" w:color="auto"/>
        <w:left w:val="none" w:sz="0" w:space="0" w:color="auto"/>
        <w:bottom w:val="none" w:sz="0" w:space="0" w:color="auto"/>
        <w:right w:val="none" w:sz="0" w:space="0" w:color="auto"/>
      </w:divBdr>
    </w:div>
    <w:div w:id="210918724">
      <w:bodyDiv w:val="1"/>
      <w:marLeft w:val="0"/>
      <w:marRight w:val="0"/>
      <w:marTop w:val="0"/>
      <w:marBottom w:val="0"/>
      <w:divBdr>
        <w:top w:val="none" w:sz="0" w:space="0" w:color="auto"/>
        <w:left w:val="none" w:sz="0" w:space="0" w:color="auto"/>
        <w:bottom w:val="none" w:sz="0" w:space="0" w:color="auto"/>
        <w:right w:val="none" w:sz="0" w:space="0" w:color="auto"/>
      </w:divBdr>
    </w:div>
    <w:div w:id="305086377">
      <w:bodyDiv w:val="1"/>
      <w:marLeft w:val="0"/>
      <w:marRight w:val="0"/>
      <w:marTop w:val="0"/>
      <w:marBottom w:val="0"/>
      <w:divBdr>
        <w:top w:val="none" w:sz="0" w:space="0" w:color="auto"/>
        <w:left w:val="none" w:sz="0" w:space="0" w:color="auto"/>
        <w:bottom w:val="none" w:sz="0" w:space="0" w:color="auto"/>
        <w:right w:val="none" w:sz="0" w:space="0" w:color="auto"/>
      </w:divBdr>
    </w:div>
    <w:div w:id="315570204">
      <w:bodyDiv w:val="1"/>
      <w:marLeft w:val="0"/>
      <w:marRight w:val="0"/>
      <w:marTop w:val="0"/>
      <w:marBottom w:val="0"/>
      <w:divBdr>
        <w:top w:val="none" w:sz="0" w:space="0" w:color="auto"/>
        <w:left w:val="none" w:sz="0" w:space="0" w:color="auto"/>
        <w:bottom w:val="none" w:sz="0" w:space="0" w:color="auto"/>
        <w:right w:val="none" w:sz="0" w:space="0" w:color="auto"/>
      </w:divBdr>
    </w:div>
    <w:div w:id="509176868">
      <w:bodyDiv w:val="1"/>
      <w:marLeft w:val="0"/>
      <w:marRight w:val="0"/>
      <w:marTop w:val="0"/>
      <w:marBottom w:val="0"/>
      <w:divBdr>
        <w:top w:val="none" w:sz="0" w:space="0" w:color="auto"/>
        <w:left w:val="none" w:sz="0" w:space="0" w:color="auto"/>
        <w:bottom w:val="none" w:sz="0" w:space="0" w:color="auto"/>
        <w:right w:val="none" w:sz="0" w:space="0" w:color="auto"/>
      </w:divBdr>
    </w:div>
    <w:div w:id="601298658">
      <w:bodyDiv w:val="1"/>
      <w:marLeft w:val="0"/>
      <w:marRight w:val="0"/>
      <w:marTop w:val="0"/>
      <w:marBottom w:val="0"/>
      <w:divBdr>
        <w:top w:val="none" w:sz="0" w:space="0" w:color="auto"/>
        <w:left w:val="none" w:sz="0" w:space="0" w:color="auto"/>
        <w:bottom w:val="none" w:sz="0" w:space="0" w:color="auto"/>
        <w:right w:val="none" w:sz="0" w:space="0" w:color="auto"/>
      </w:divBdr>
    </w:div>
    <w:div w:id="637686917">
      <w:bodyDiv w:val="1"/>
      <w:marLeft w:val="0"/>
      <w:marRight w:val="0"/>
      <w:marTop w:val="0"/>
      <w:marBottom w:val="0"/>
      <w:divBdr>
        <w:top w:val="none" w:sz="0" w:space="0" w:color="auto"/>
        <w:left w:val="none" w:sz="0" w:space="0" w:color="auto"/>
        <w:bottom w:val="none" w:sz="0" w:space="0" w:color="auto"/>
        <w:right w:val="none" w:sz="0" w:space="0" w:color="auto"/>
      </w:divBdr>
      <w:divsChild>
        <w:div w:id="473527101">
          <w:marLeft w:val="0"/>
          <w:marRight w:val="0"/>
          <w:marTop w:val="0"/>
          <w:marBottom w:val="0"/>
          <w:divBdr>
            <w:top w:val="none" w:sz="0" w:space="0" w:color="auto"/>
            <w:left w:val="none" w:sz="0" w:space="0" w:color="auto"/>
            <w:bottom w:val="none" w:sz="0" w:space="0" w:color="auto"/>
            <w:right w:val="none" w:sz="0" w:space="0" w:color="auto"/>
          </w:divBdr>
          <w:divsChild>
            <w:div w:id="2063745467">
              <w:marLeft w:val="0"/>
              <w:marRight w:val="0"/>
              <w:marTop w:val="0"/>
              <w:marBottom w:val="0"/>
              <w:divBdr>
                <w:top w:val="none" w:sz="0" w:space="0" w:color="auto"/>
                <w:left w:val="none" w:sz="0" w:space="0" w:color="auto"/>
                <w:bottom w:val="none" w:sz="0" w:space="0" w:color="auto"/>
                <w:right w:val="none" w:sz="0" w:space="0" w:color="auto"/>
              </w:divBdr>
            </w:div>
            <w:div w:id="2080444498">
              <w:marLeft w:val="0"/>
              <w:marRight w:val="0"/>
              <w:marTop w:val="0"/>
              <w:marBottom w:val="0"/>
              <w:divBdr>
                <w:top w:val="none" w:sz="0" w:space="0" w:color="auto"/>
                <w:left w:val="none" w:sz="0" w:space="0" w:color="auto"/>
                <w:bottom w:val="none" w:sz="0" w:space="0" w:color="auto"/>
                <w:right w:val="none" w:sz="0" w:space="0" w:color="auto"/>
              </w:divBdr>
              <w:divsChild>
                <w:div w:id="674921657">
                  <w:marLeft w:val="0"/>
                  <w:marRight w:val="0"/>
                  <w:marTop w:val="0"/>
                  <w:marBottom w:val="0"/>
                  <w:divBdr>
                    <w:top w:val="none" w:sz="0" w:space="0" w:color="auto"/>
                    <w:left w:val="none" w:sz="0" w:space="0" w:color="auto"/>
                    <w:bottom w:val="none" w:sz="0" w:space="0" w:color="auto"/>
                    <w:right w:val="none" w:sz="0" w:space="0" w:color="auto"/>
                  </w:divBdr>
                  <w:divsChild>
                    <w:div w:id="1944259185">
                      <w:marLeft w:val="300"/>
                      <w:marRight w:val="0"/>
                      <w:marTop w:val="0"/>
                      <w:marBottom w:val="0"/>
                      <w:divBdr>
                        <w:top w:val="none" w:sz="0" w:space="0" w:color="auto"/>
                        <w:left w:val="none" w:sz="0" w:space="0" w:color="auto"/>
                        <w:bottom w:val="none" w:sz="0" w:space="0" w:color="auto"/>
                        <w:right w:val="none" w:sz="0" w:space="0" w:color="auto"/>
                      </w:divBdr>
                      <w:divsChild>
                        <w:div w:id="1253052513">
                          <w:marLeft w:val="-300"/>
                          <w:marRight w:val="0"/>
                          <w:marTop w:val="0"/>
                          <w:marBottom w:val="0"/>
                          <w:divBdr>
                            <w:top w:val="none" w:sz="0" w:space="0" w:color="auto"/>
                            <w:left w:val="none" w:sz="0" w:space="0" w:color="auto"/>
                            <w:bottom w:val="none" w:sz="0" w:space="0" w:color="auto"/>
                            <w:right w:val="none" w:sz="0" w:space="0" w:color="auto"/>
                          </w:divBdr>
                          <w:divsChild>
                            <w:div w:id="5397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90430">
          <w:marLeft w:val="0"/>
          <w:marRight w:val="0"/>
          <w:marTop w:val="0"/>
          <w:marBottom w:val="0"/>
          <w:divBdr>
            <w:top w:val="none" w:sz="0" w:space="0" w:color="auto"/>
            <w:left w:val="none" w:sz="0" w:space="0" w:color="auto"/>
            <w:bottom w:val="none" w:sz="0" w:space="0" w:color="auto"/>
            <w:right w:val="none" w:sz="0" w:space="0" w:color="auto"/>
          </w:divBdr>
        </w:div>
      </w:divsChild>
    </w:div>
    <w:div w:id="758410357">
      <w:bodyDiv w:val="1"/>
      <w:marLeft w:val="0"/>
      <w:marRight w:val="0"/>
      <w:marTop w:val="0"/>
      <w:marBottom w:val="0"/>
      <w:divBdr>
        <w:top w:val="none" w:sz="0" w:space="0" w:color="auto"/>
        <w:left w:val="none" w:sz="0" w:space="0" w:color="auto"/>
        <w:bottom w:val="none" w:sz="0" w:space="0" w:color="auto"/>
        <w:right w:val="none" w:sz="0" w:space="0" w:color="auto"/>
      </w:divBdr>
    </w:div>
    <w:div w:id="859011070">
      <w:bodyDiv w:val="1"/>
      <w:marLeft w:val="0"/>
      <w:marRight w:val="0"/>
      <w:marTop w:val="0"/>
      <w:marBottom w:val="0"/>
      <w:divBdr>
        <w:top w:val="none" w:sz="0" w:space="0" w:color="auto"/>
        <w:left w:val="none" w:sz="0" w:space="0" w:color="auto"/>
        <w:bottom w:val="none" w:sz="0" w:space="0" w:color="auto"/>
        <w:right w:val="none" w:sz="0" w:space="0" w:color="auto"/>
      </w:divBdr>
    </w:div>
    <w:div w:id="972904439">
      <w:bodyDiv w:val="1"/>
      <w:marLeft w:val="0"/>
      <w:marRight w:val="0"/>
      <w:marTop w:val="0"/>
      <w:marBottom w:val="0"/>
      <w:divBdr>
        <w:top w:val="none" w:sz="0" w:space="0" w:color="auto"/>
        <w:left w:val="none" w:sz="0" w:space="0" w:color="auto"/>
        <w:bottom w:val="none" w:sz="0" w:space="0" w:color="auto"/>
        <w:right w:val="none" w:sz="0" w:space="0" w:color="auto"/>
      </w:divBdr>
    </w:div>
    <w:div w:id="1022055988">
      <w:bodyDiv w:val="1"/>
      <w:marLeft w:val="0"/>
      <w:marRight w:val="0"/>
      <w:marTop w:val="0"/>
      <w:marBottom w:val="0"/>
      <w:divBdr>
        <w:top w:val="none" w:sz="0" w:space="0" w:color="auto"/>
        <w:left w:val="none" w:sz="0" w:space="0" w:color="auto"/>
        <w:bottom w:val="none" w:sz="0" w:space="0" w:color="auto"/>
        <w:right w:val="none" w:sz="0" w:space="0" w:color="auto"/>
      </w:divBdr>
    </w:div>
    <w:div w:id="1098983061">
      <w:bodyDiv w:val="1"/>
      <w:marLeft w:val="0"/>
      <w:marRight w:val="0"/>
      <w:marTop w:val="0"/>
      <w:marBottom w:val="0"/>
      <w:divBdr>
        <w:top w:val="none" w:sz="0" w:space="0" w:color="auto"/>
        <w:left w:val="none" w:sz="0" w:space="0" w:color="auto"/>
        <w:bottom w:val="none" w:sz="0" w:space="0" w:color="auto"/>
        <w:right w:val="none" w:sz="0" w:space="0" w:color="auto"/>
      </w:divBdr>
    </w:div>
    <w:div w:id="1117407251">
      <w:bodyDiv w:val="1"/>
      <w:marLeft w:val="0"/>
      <w:marRight w:val="0"/>
      <w:marTop w:val="0"/>
      <w:marBottom w:val="0"/>
      <w:divBdr>
        <w:top w:val="none" w:sz="0" w:space="0" w:color="auto"/>
        <w:left w:val="none" w:sz="0" w:space="0" w:color="auto"/>
        <w:bottom w:val="none" w:sz="0" w:space="0" w:color="auto"/>
        <w:right w:val="none" w:sz="0" w:space="0" w:color="auto"/>
      </w:divBdr>
    </w:div>
    <w:div w:id="1149978082">
      <w:bodyDiv w:val="1"/>
      <w:marLeft w:val="0"/>
      <w:marRight w:val="0"/>
      <w:marTop w:val="0"/>
      <w:marBottom w:val="0"/>
      <w:divBdr>
        <w:top w:val="none" w:sz="0" w:space="0" w:color="auto"/>
        <w:left w:val="none" w:sz="0" w:space="0" w:color="auto"/>
        <w:bottom w:val="none" w:sz="0" w:space="0" w:color="auto"/>
        <w:right w:val="none" w:sz="0" w:space="0" w:color="auto"/>
      </w:divBdr>
    </w:div>
    <w:div w:id="1197886602">
      <w:bodyDiv w:val="1"/>
      <w:marLeft w:val="0"/>
      <w:marRight w:val="0"/>
      <w:marTop w:val="0"/>
      <w:marBottom w:val="0"/>
      <w:divBdr>
        <w:top w:val="none" w:sz="0" w:space="0" w:color="auto"/>
        <w:left w:val="none" w:sz="0" w:space="0" w:color="auto"/>
        <w:bottom w:val="none" w:sz="0" w:space="0" w:color="auto"/>
        <w:right w:val="none" w:sz="0" w:space="0" w:color="auto"/>
      </w:divBdr>
    </w:div>
    <w:div w:id="1379236317">
      <w:bodyDiv w:val="1"/>
      <w:marLeft w:val="0"/>
      <w:marRight w:val="0"/>
      <w:marTop w:val="0"/>
      <w:marBottom w:val="0"/>
      <w:divBdr>
        <w:top w:val="none" w:sz="0" w:space="0" w:color="auto"/>
        <w:left w:val="none" w:sz="0" w:space="0" w:color="auto"/>
        <w:bottom w:val="none" w:sz="0" w:space="0" w:color="auto"/>
        <w:right w:val="none" w:sz="0" w:space="0" w:color="auto"/>
      </w:divBdr>
    </w:div>
    <w:div w:id="1548569532">
      <w:bodyDiv w:val="1"/>
      <w:marLeft w:val="0"/>
      <w:marRight w:val="0"/>
      <w:marTop w:val="0"/>
      <w:marBottom w:val="0"/>
      <w:divBdr>
        <w:top w:val="none" w:sz="0" w:space="0" w:color="auto"/>
        <w:left w:val="none" w:sz="0" w:space="0" w:color="auto"/>
        <w:bottom w:val="none" w:sz="0" w:space="0" w:color="auto"/>
        <w:right w:val="none" w:sz="0" w:space="0" w:color="auto"/>
      </w:divBdr>
    </w:div>
    <w:div w:id="1582792540">
      <w:bodyDiv w:val="1"/>
      <w:marLeft w:val="0"/>
      <w:marRight w:val="0"/>
      <w:marTop w:val="0"/>
      <w:marBottom w:val="0"/>
      <w:divBdr>
        <w:top w:val="none" w:sz="0" w:space="0" w:color="auto"/>
        <w:left w:val="none" w:sz="0" w:space="0" w:color="auto"/>
        <w:bottom w:val="none" w:sz="0" w:space="0" w:color="auto"/>
        <w:right w:val="none" w:sz="0" w:space="0" w:color="auto"/>
      </w:divBdr>
    </w:div>
    <w:div w:id="1616399805">
      <w:bodyDiv w:val="1"/>
      <w:marLeft w:val="0"/>
      <w:marRight w:val="0"/>
      <w:marTop w:val="0"/>
      <w:marBottom w:val="0"/>
      <w:divBdr>
        <w:top w:val="none" w:sz="0" w:space="0" w:color="auto"/>
        <w:left w:val="none" w:sz="0" w:space="0" w:color="auto"/>
        <w:bottom w:val="none" w:sz="0" w:space="0" w:color="auto"/>
        <w:right w:val="none" w:sz="0" w:space="0" w:color="auto"/>
      </w:divBdr>
    </w:div>
    <w:div w:id="1869758999">
      <w:bodyDiv w:val="1"/>
      <w:marLeft w:val="0"/>
      <w:marRight w:val="0"/>
      <w:marTop w:val="0"/>
      <w:marBottom w:val="0"/>
      <w:divBdr>
        <w:top w:val="none" w:sz="0" w:space="0" w:color="auto"/>
        <w:left w:val="none" w:sz="0" w:space="0" w:color="auto"/>
        <w:bottom w:val="none" w:sz="0" w:space="0" w:color="auto"/>
        <w:right w:val="none" w:sz="0" w:space="0" w:color="auto"/>
      </w:divBdr>
    </w:div>
    <w:div w:id="1888444678">
      <w:bodyDiv w:val="1"/>
      <w:marLeft w:val="0"/>
      <w:marRight w:val="0"/>
      <w:marTop w:val="0"/>
      <w:marBottom w:val="0"/>
      <w:divBdr>
        <w:top w:val="none" w:sz="0" w:space="0" w:color="auto"/>
        <w:left w:val="none" w:sz="0" w:space="0" w:color="auto"/>
        <w:bottom w:val="none" w:sz="0" w:space="0" w:color="auto"/>
        <w:right w:val="none" w:sz="0" w:space="0" w:color="auto"/>
      </w:divBdr>
    </w:div>
    <w:div w:id="1907377812">
      <w:bodyDiv w:val="1"/>
      <w:marLeft w:val="0"/>
      <w:marRight w:val="0"/>
      <w:marTop w:val="0"/>
      <w:marBottom w:val="0"/>
      <w:divBdr>
        <w:top w:val="none" w:sz="0" w:space="0" w:color="auto"/>
        <w:left w:val="none" w:sz="0" w:space="0" w:color="auto"/>
        <w:bottom w:val="none" w:sz="0" w:space="0" w:color="auto"/>
        <w:right w:val="none" w:sz="0" w:space="0" w:color="auto"/>
      </w:divBdr>
    </w:div>
    <w:div w:id="1926112126">
      <w:bodyDiv w:val="1"/>
      <w:marLeft w:val="0"/>
      <w:marRight w:val="0"/>
      <w:marTop w:val="0"/>
      <w:marBottom w:val="0"/>
      <w:divBdr>
        <w:top w:val="none" w:sz="0" w:space="0" w:color="auto"/>
        <w:left w:val="none" w:sz="0" w:space="0" w:color="auto"/>
        <w:bottom w:val="none" w:sz="0" w:space="0" w:color="auto"/>
        <w:right w:val="none" w:sz="0" w:space="0" w:color="auto"/>
      </w:divBdr>
    </w:div>
    <w:div w:id="1926265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edbird:Documents:CliftonContract:Comp%20Plan:RoadLi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edbird:Documents:CliftonContract:Comp%20Plan:RoadLi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RoadBudget!$B$6</c:f>
              <c:strCache>
                <c:ptCount val="1"/>
                <c:pt idx="0">
                  <c:v>Capital Expenses</c:v>
                </c:pt>
              </c:strCache>
            </c:strRef>
          </c:tx>
          <c:invertIfNegative val="0"/>
          <c:cat>
            <c:multiLvlStrRef>
              <c:f>RoadBudget!$C$4:$H$5</c:f>
              <c:multiLvlStrCache>
                <c:ptCount val="6"/>
                <c:lvl>
                  <c:pt idx="0">
                    <c:v>2012</c:v>
                  </c:pt>
                  <c:pt idx="1">
                    <c:v>2013</c:v>
                  </c:pt>
                  <c:pt idx="2">
                    <c:v>2014</c:v>
                  </c:pt>
                  <c:pt idx="3">
                    <c:v>2015</c:v>
                  </c:pt>
                  <c:pt idx="4">
                    <c:v>2016</c:v>
                  </c:pt>
                  <c:pt idx="5">
                    <c:v>2017</c:v>
                  </c:pt>
                </c:lvl>
                <c:lvl>
                  <c:pt idx="0">
                    <c:v>Calendar Year</c:v>
                  </c:pt>
                </c:lvl>
              </c:multiLvlStrCache>
            </c:multiLvlStrRef>
          </c:cat>
          <c:val>
            <c:numRef>
              <c:f>RoadBudget!$C$6:$H$6</c:f>
              <c:numCache>
                <c:formatCode>"$"#,##0</c:formatCode>
                <c:ptCount val="6"/>
                <c:pt idx="0">
                  <c:v>13701</c:v>
                </c:pt>
                <c:pt idx="1">
                  <c:v>26162</c:v>
                </c:pt>
                <c:pt idx="2">
                  <c:v>24120</c:v>
                </c:pt>
                <c:pt idx="3">
                  <c:v>0</c:v>
                </c:pt>
                <c:pt idx="4">
                  <c:v>19830</c:v>
                </c:pt>
                <c:pt idx="5">
                  <c:v>0</c:v>
                </c:pt>
              </c:numCache>
            </c:numRef>
          </c:val>
          <c:extLst xmlns:c16r2="http://schemas.microsoft.com/office/drawing/2015/06/chart">
            <c:ext xmlns:c16="http://schemas.microsoft.com/office/drawing/2014/chart" uri="{C3380CC4-5D6E-409C-BE32-E72D297353CC}">
              <c16:uniqueId val="{00000000-6389-469D-86AC-883C0D5575AC}"/>
            </c:ext>
          </c:extLst>
        </c:ser>
        <c:ser>
          <c:idx val="1"/>
          <c:order val="1"/>
          <c:tx>
            <c:strRef>
              <c:f>RoadBudget!$B$7</c:f>
              <c:strCache>
                <c:ptCount val="1"/>
                <c:pt idx="0">
                  <c:v>Maintenance</c:v>
                </c:pt>
              </c:strCache>
            </c:strRef>
          </c:tx>
          <c:invertIfNegative val="0"/>
          <c:cat>
            <c:multiLvlStrRef>
              <c:f>RoadBudget!$C$4:$H$5</c:f>
              <c:multiLvlStrCache>
                <c:ptCount val="6"/>
                <c:lvl>
                  <c:pt idx="0">
                    <c:v>2012</c:v>
                  </c:pt>
                  <c:pt idx="1">
                    <c:v>2013</c:v>
                  </c:pt>
                  <c:pt idx="2">
                    <c:v>2014</c:v>
                  </c:pt>
                  <c:pt idx="3">
                    <c:v>2015</c:v>
                  </c:pt>
                  <c:pt idx="4">
                    <c:v>2016</c:v>
                  </c:pt>
                  <c:pt idx="5">
                    <c:v>2017</c:v>
                  </c:pt>
                </c:lvl>
                <c:lvl>
                  <c:pt idx="0">
                    <c:v>Calendar Year</c:v>
                  </c:pt>
                </c:lvl>
              </c:multiLvlStrCache>
            </c:multiLvlStrRef>
          </c:cat>
          <c:val>
            <c:numRef>
              <c:f>RoadBudget!$C$7:$H$7</c:f>
              <c:numCache>
                <c:formatCode>"$"#,##0</c:formatCode>
                <c:ptCount val="6"/>
                <c:pt idx="0">
                  <c:v>4623</c:v>
                </c:pt>
                <c:pt idx="1">
                  <c:v>19492</c:v>
                </c:pt>
                <c:pt idx="2">
                  <c:v>18766</c:v>
                </c:pt>
                <c:pt idx="3">
                  <c:v>16716</c:v>
                </c:pt>
                <c:pt idx="4">
                  <c:v>21504</c:v>
                </c:pt>
                <c:pt idx="5">
                  <c:v>17141</c:v>
                </c:pt>
              </c:numCache>
            </c:numRef>
          </c:val>
          <c:extLst xmlns:c16r2="http://schemas.microsoft.com/office/drawing/2015/06/chart">
            <c:ext xmlns:c16="http://schemas.microsoft.com/office/drawing/2014/chart" uri="{C3380CC4-5D6E-409C-BE32-E72D297353CC}">
              <c16:uniqueId val="{00000001-6389-469D-86AC-883C0D5575AC}"/>
            </c:ext>
          </c:extLst>
        </c:ser>
        <c:ser>
          <c:idx val="2"/>
          <c:order val="2"/>
          <c:tx>
            <c:strRef>
              <c:f>RoadBudget!$B$8</c:f>
              <c:strCache>
                <c:ptCount val="1"/>
                <c:pt idx="0">
                  <c:v>Snow Removal</c:v>
                </c:pt>
              </c:strCache>
            </c:strRef>
          </c:tx>
          <c:invertIfNegative val="0"/>
          <c:cat>
            <c:multiLvlStrRef>
              <c:f>RoadBudget!$C$4:$H$5</c:f>
              <c:multiLvlStrCache>
                <c:ptCount val="6"/>
                <c:lvl>
                  <c:pt idx="0">
                    <c:v>2012</c:v>
                  </c:pt>
                  <c:pt idx="1">
                    <c:v>2013</c:v>
                  </c:pt>
                  <c:pt idx="2">
                    <c:v>2014</c:v>
                  </c:pt>
                  <c:pt idx="3">
                    <c:v>2015</c:v>
                  </c:pt>
                  <c:pt idx="4">
                    <c:v>2016</c:v>
                  </c:pt>
                  <c:pt idx="5">
                    <c:v>2017</c:v>
                  </c:pt>
                </c:lvl>
                <c:lvl>
                  <c:pt idx="0">
                    <c:v>Calendar Year</c:v>
                  </c:pt>
                </c:lvl>
              </c:multiLvlStrCache>
            </c:multiLvlStrRef>
          </c:cat>
          <c:val>
            <c:numRef>
              <c:f>RoadBudget!$C$8:$H$8</c:f>
              <c:numCache>
                <c:formatCode>"$"#,##0</c:formatCode>
                <c:ptCount val="6"/>
                <c:pt idx="0">
                  <c:v>52780</c:v>
                </c:pt>
                <c:pt idx="1">
                  <c:v>67883</c:v>
                </c:pt>
                <c:pt idx="2">
                  <c:v>51885</c:v>
                </c:pt>
                <c:pt idx="3">
                  <c:v>51665</c:v>
                </c:pt>
                <c:pt idx="4">
                  <c:v>72864</c:v>
                </c:pt>
                <c:pt idx="5">
                  <c:v>75040</c:v>
                </c:pt>
              </c:numCache>
            </c:numRef>
          </c:val>
          <c:extLst xmlns:c16r2="http://schemas.microsoft.com/office/drawing/2015/06/chart">
            <c:ext xmlns:c16="http://schemas.microsoft.com/office/drawing/2014/chart" uri="{C3380CC4-5D6E-409C-BE32-E72D297353CC}">
              <c16:uniqueId val="{00000002-6389-469D-86AC-883C0D5575AC}"/>
            </c:ext>
          </c:extLst>
        </c:ser>
        <c:ser>
          <c:idx val="3"/>
          <c:order val="3"/>
          <c:tx>
            <c:strRef>
              <c:f>RoadBudget!$B$9</c:f>
              <c:strCache>
                <c:ptCount val="1"/>
                <c:pt idx="0">
                  <c:v>Sand and Salt</c:v>
                </c:pt>
              </c:strCache>
            </c:strRef>
          </c:tx>
          <c:invertIfNegative val="0"/>
          <c:cat>
            <c:multiLvlStrRef>
              <c:f>RoadBudget!$C$4:$H$5</c:f>
              <c:multiLvlStrCache>
                <c:ptCount val="6"/>
                <c:lvl>
                  <c:pt idx="0">
                    <c:v>2012</c:v>
                  </c:pt>
                  <c:pt idx="1">
                    <c:v>2013</c:v>
                  </c:pt>
                  <c:pt idx="2">
                    <c:v>2014</c:v>
                  </c:pt>
                  <c:pt idx="3">
                    <c:v>2015</c:v>
                  </c:pt>
                  <c:pt idx="4">
                    <c:v>2016</c:v>
                  </c:pt>
                  <c:pt idx="5">
                    <c:v>2017</c:v>
                  </c:pt>
                </c:lvl>
                <c:lvl>
                  <c:pt idx="0">
                    <c:v>Calendar Year</c:v>
                  </c:pt>
                </c:lvl>
              </c:multiLvlStrCache>
            </c:multiLvlStrRef>
          </c:cat>
          <c:val>
            <c:numRef>
              <c:f>RoadBudget!$C$9:$H$9</c:f>
              <c:numCache>
                <c:formatCode>"$"#,##0</c:formatCode>
                <c:ptCount val="6"/>
                <c:pt idx="0">
                  <c:v>35293</c:v>
                </c:pt>
                <c:pt idx="1">
                  <c:v>36498</c:v>
                </c:pt>
                <c:pt idx="2">
                  <c:v>35975</c:v>
                </c:pt>
                <c:pt idx="3">
                  <c:v>36730</c:v>
                </c:pt>
                <c:pt idx="4">
                  <c:v>51809</c:v>
                </c:pt>
                <c:pt idx="5">
                  <c:v>31070.6</c:v>
                </c:pt>
              </c:numCache>
            </c:numRef>
          </c:val>
          <c:extLst xmlns:c16r2="http://schemas.microsoft.com/office/drawing/2015/06/chart">
            <c:ext xmlns:c16="http://schemas.microsoft.com/office/drawing/2014/chart" uri="{C3380CC4-5D6E-409C-BE32-E72D297353CC}">
              <c16:uniqueId val="{00000003-6389-469D-86AC-883C0D5575AC}"/>
            </c:ext>
          </c:extLst>
        </c:ser>
        <c:dLbls>
          <c:showLegendKey val="0"/>
          <c:showVal val="0"/>
          <c:showCatName val="0"/>
          <c:showSerName val="0"/>
          <c:showPercent val="0"/>
          <c:showBubbleSize val="0"/>
        </c:dLbls>
        <c:gapWidth val="150"/>
        <c:axId val="117806976"/>
        <c:axId val="117808512"/>
      </c:barChart>
      <c:catAx>
        <c:axId val="117806976"/>
        <c:scaling>
          <c:orientation val="minMax"/>
        </c:scaling>
        <c:delete val="0"/>
        <c:axPos val="b"/>
        <c:numFmt formatCode="General" sourceLinked="0"/>
        <c:majorTickMark val="out"/>
        <c:minorTickMark val="none"/>
        <c:tickLblPos val="nextTo"/>
        <c:txPr>
          <a:bodyPr/>
          <a:lstStyle/>
          <a:p>
            <a:pPr>
              <a:defRPr>
                <a:latin typeface="+mj-lt"/>
              </a:defRPr>
            </a:pPr>
            <a:endParaRPr lang="en-US"/>
          </a:p>
        </c:txPr>
        <c:crossAx val="117808512"/>
        <c:crosses val="autoZero"/>
        <c:auto val="1"/>
        <c:lblAlgn val="ctr"/>
        <c:lblOffset val="100"/>
        <c:noMultiLvlLbl val="0"/>
      </c:catAx>
      <c:valAx>
        <c:axId val="117808512"/>
        <c:scaling>
          <c:orientation val="minMax"/>
        </c:scaling>
        <c:delete val="0"/>
        <c:axPos val="l"/>
        <c:majorGridlines/>
        <c:numFmt formatCode="&quot;$&quot;#,##0" sourceLinked="1"/>
        <c:majorTickMark val="out"/>
        <c:minorTickMark val="none"/>
        <c:tickLblPos val="nextTo"/>
        <c:txPr>
          <a:bodyPr/>
          <a:lstStyle/>
          <a:p>
            <a:pPr>
              <a:defRPr>
                <a:latin typeface="+mj-lt"/>
              </a:defRPr>
            </a:pPr>
            <a:endParaRPr lang="en-US"/>
          </a:p>
        </c:txPr>
        <c:crossAx val="117806976"/>
        <c:crosses val="autoZero"/>
        <c:crossBetween val="between"/>
      </c:valAx>
    </c:plotArea>
    <c:legend>
      <c:legendPos val="r"/>
      <c:overlay val="0"/>
      <c:txPr>
        <a:bodyPr/>
        <a:lstStyle/>
        <a:p>
          <a:pPr>
            <a:defRPr>
              <a:latin typeface="+mj-lt"/>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mj-lt"/>
              </a:defRPr>
            </a:pPr>
            <a:r>
              <a:rPr lang="en-US" sz="1200">
                <a:latin typeface="+mj-lt"/>
              </a:rPr>
              <a:t>Clifton Historic</a:t>
            </a:r>
            <a:r>
              <a:rPr lang="en-US" sz="1200" baseline="0">
                <a:latin typeface="+mj-lt"/>
              </a:rPr>
              <a:t> Average Daily Traffic Counts</a:t>
            </a:r>
            <a:endParaRPr lang="en-US" sz="1200">
              <a:latin typeface="+mj-lt"/>
            </a:endParaRPr>
          </a:p>
        </c:rich>
      </c:tx>
      <c:overlay val="0"/>
    </c:title>
    <c:autoTitleDeleted val="0"/>
    <c:plotArea>
      <c:layout/>
      <c:barChart>
        <c:barDir val="bar"/>
        <c:grouping val="clustered"/>
        <c:varyColors val="0"/>
        <c:ser>
          <c:idx val="0"/>
          <c:order val="0"/>
          <c:tx>
            <c:strRef>
              <c:f>TrafficCount!$D$6</c:f>
              <c:strCache>
                <c:ptCount val="1"/>
                <c:pt idx="0">
                  <c:v>Rte 9 Prior to Rte 180</c:v>
                </c:pt>
              </c:strCache>
            </c:strRef>
          </c:tx>
          <c:invertIfNegative val="0"/>
          <c:cat>
            <c:numRef>
              <c:f>TrafficCount!$E$5:$I$5</c:f>
              <c:numCache>
                <c:formatCode>General</c:formatCode>
                <c:ptCount val="5"/>
                <c:pt idx="0">
                  <c:v>1996</c:v>
                </c:pt>
                <c:pt idx="1">
                  <c:v>1998</c:v>
                </c:pt>
                <c:pt idx="2">
                  <c:v>2001</c:v>
                </c:pt>
                <c:pt idx="3">
                  <c:v>2012</c:v>
                </c:pt>
                <c:pt idx="4">
                  <c:v>2015</c:v>
                </c:pt>
              </c:numCache>
            </c:numRef>
          </c:cat>
          <c:val>
            <c:numRef>
              <c:f>TrafficCount!$E$6:$I$6</c:f>
              <c:numCache>
                <c:formatCode>#,##0</c:formatCode>
                <c:ptCount val="5"/>
                <c:pt idx="0">
                  <c:v>4760</c:v>
                </c:pt>
                <c:pt idx="1">
                  <c:v>5090</c:v>
                </c:pt>
                <c:pt idx="2">
                  <c:v>5290</c:v>
                </c:pt>
                <c:pt idx="3">
                  <c:v>5420</c:v>
                </c:pt>
                <c:pt idx="4">
                  <c:v>5380</c:v>
                </c:pt>
              </c:numCache>
            </c:numRef>
          </c:val>
          <c:extLst xmlns:c16r2="http://schemas.microsoft.com/office/drawing/2015/06/chart">
            <c:ext xmlns:c16="http://schemas.microsoft.com/office/drawing/2014/chart" uri="{C3380CC4-5D6E-409C-BE32-E72D297353CC}">
              <c16:uniqueId val="{00000000-BCE4-4239-88E7-977F4AA7A1A2}"/>
            </c:ext>
          </c:extLst>
        </c:ser>
        <c:ser>
          <c:idx val="1"/>
          <c:order val="1"/>
          <c:tx>
            <c:strRef>
              <c:f>TrafficCount!$D$7</c:f>
              <c:strCache>
                <c:ptCount val="1"/>
                <c:pt idx="0">
                  <c:v>Rte 9 After Rte 180</c:v>
                </c:pt>
              </c:strCache>
            </c:strRef>
          </c:tx>
          <c:invertIfNegative val="0"/>
          <c:cat>
            <c:numRef>
              <c:f>TrafficCount!$E$5:$I$5</c:f>
              <c:numCache>
                <c:formatCode>General</c:formatCode>
                <c:ptCount val="5"/>
                <c:pt idx="0">
                  <c:v>1996</c:v>
                </c:pt>
                <c:pt idx="1">
                  <c:v>1998</c:v>
                </c:pt>
                <c:pt idx="2">
                  <c:v>2001</c:v>
                </c:pt>
                <c:pt idx="3">
                  <c:v>2012</c:v>
                </c:pt>
                <c:pt idx="4">
                  <c:v>2015</c:v>
                </c:pt>
              </c:numCache>
            </c:numRef>
          </c:cat>
          <c:val>
            <c:numRef>
              <c:f>TrafficCount!$E$7:$I$7</c:f>
              <c:numCache>
                <c:formatCode>#,##0</c:formatCode>
                <c:ptCount val="5"/>
                <c:pt idx="0">
                  <c:v>3730</c:v>
                </c:pt>
                <c:pt idx="1">
                  <c:v>3970</c:v>
                </c:pt>
                <c:pt idx="2">
                  <c:v>4320</c:v>
                </c:pt>
                <c:pt idx="3">
                  <c:v>4350</c:v>
                </c:pt>
                <c:pt idx="4">
                  <c:v>4340</c:v>
                </c:pt>
              </c:numCache>
            </c:numRef>
          </c:val>
          <c:extLst xmlns:c16r2="http://schemas.microsoft.com/office/drawing/2015/06/chart">
            <c:ext xmlns:c16="http://schemas.microsoft.com/office/drawing/2014/chart" uri="{C3380CC4-5D6E-409C-BE32-E72D297353CC}">
              <c16:uniqueId val="{00000001-BCE4-4239-88E7-977F4AA7A1A2}"/>
            </c:ext>
          </c:extLst>
        </c:ser>
        <c:ser>
          <c:idx val="2"/>
          <c:order val="2"/>
          <c:tx>
            <c:strRef>
              <c:f>TrafficCount!$D$8</c:f>
              <c:strCache>
                <c:ptCount val="1"/>
                <c:pt idx="0">
                  <c:v>Rte 9 At Easterly Line Clifton</c:v>
                </c:pt>
              </c:strCache>
            </c:strRef>
          </c:tx>
          <c:invertIfNegative val="0"/>
          <c:cat>
            <c:numRef>
              <c:f>TrafficCount!$E$5:$I$5</c:f>
              <c:numCache>
                <c:formatCode>General</c:formatCode>
                <c:ptCount val="5"/>
                <c:pt idx="0">
                  <c:v>1996</c:v>
                </c:pt>
                <c:pt idx="1">
                  <c:v>1998</c:v>
                </c:pt>
                <c:pt idx="2">
                  <c:v>2001</c:v>
                </c:pt>
                <c:pt idx="3">
                  <c:v>2012</c:v>
                </c:pt>
                <c:pt idx="4">
                  <c:v>2015</c:v>
                </c:pt>
              </c:numCache>
            </c:numRef>
          </c:cat>
          <c:val>
            <c:numRef>
              <c:f>TrafficCount!$E$8:$I$8</c:f>
              <c:numCache>
                <c:formatCode>#,##0</c:formatCode>
                <c:ptCount val="5"/>
                <c:pt idx="0">
                  <c:v>2750</c:v>
                </c:pt>
                <c:pt idx="1">
                  <c:v>3600</c:v>
                </c:pt>
                <c:pt idx="2">
                  <c:v>4140</c:v>
                </c:pt>
                <c:pt idx="3">
                  <c:v>3800</c:v>
                </c:pt>
                <c:pt idx="4">
                  <c:v>3660</c:v>
                </c:pt>
              </c:numCache>
            </c:numRef>
          </c:val>
          <c:extLst xmlns:c16r2="http://schemas.microsoft.com/office/drawing/2015/06/chart">
            <c:ext xmlns:c16="http://schemas.microsoft.com/office/drawing/2014/chart" uri="{C3380CC4-5D6E-409C-BE32-E72D297353CC}">
              <c16:uniqueId val="{00000002-BCE4-4239-88E7-977F4AA7A1A2}"/>
            </c:ext>
          </c:extLst>
        </c:ser>
        <c:ser>
          <c:idx val="3"/>
          <c:order val="3"/>
          <c:tx>
            <c:strRef>
              <c:f>TrafficCount!$D$9</c:f>
              <c:strCache>
                <c:ptCount val="1"/>
                <c:pt idx="0">
                  <c:v>Begin Rte 180</c:v>
                </c:pt>
              </c:strCache>
            </c:strRef>
          </c:tx>
          <c:invertIfNegative val="0"/>
          <c:cat>
            <c:numRef>
              <c:f>TrafficCount!$E$5:$I$5</c:f>
              <c:numCache>
                <c:formatCode>General</c:formatCode>
                <c:ptCount val="5"/>
                <c:pt idx="0">
                  <c:v>1996</c:v>
                </c:pt>
                <c:pt idx="1">
                  <c:v>1998</c:v>
                </c:pt>
                <c:pt idx="2">
                  <c:v>2001</c:v>
                </c:pt>
                <c:pt idx="3">
                  <c:v>2012</c:v>
                </c:pt>
                <c:pt idx="4">
                  <c:v>2015</c:v>
                </c:pt>
              </c:numCache>
            </c:numRef>
          </c:cat>
          <c:val>
            <c:numRef>
              <c:f>TrafficCount!$E$9:$I$9</c:f>
              <c:numCache>
                <c:formatCode>#,##0</c:formatCode>
                <c:ptCount val="5"/>
                <c:pt idx="0">
                  <c:v>1040</c:v>
                </c:pt>
                <c:pt idx="1">
                  <c:v>1000</c:v>
                </c:pt>
                <c:pt idx="2">
                  <c:v>980</c:v>
                </c:pt>
                <c:pt idx="3">
                  <c:v>1110</c:v>
                </c:pt>
                <c:pt idx="4">
                  <c:v>1000</c:v>
                </c:pt>
              </c:numCache>
            </c:numRef>
          </c:val>
          <c:extLst xmlns:c16r2="http://schemas.microsoft.com/office/drawing/2015/06/chart">
            <c:ext xmlns:c16="http://schemas.microsoft.com/office/drawing/2014/chart" uri="{C3380CC4-5D6E-409C-BE32-E72D297353CC}">
              <c16:uniqueId val="{00000003-BCE4-4239-88E7-977F4AA7A1A2}"/>
            </c:ext>
          </c:extLst>
        </c:ser>
        <c:ser>
          <c:idx val="4"/>
          <c:order val="4"/>
          <c:tx>
            <c:strRef>
              <c:f>TrafficCount!$D$10</c:f>
              <c:strCache>
                <c:ptCount val="1"/>
                <c:pt idx="0">
                  <c:v>Rte 180 Southerly Line Clifton</c:v>
                </c:pt>
              </c:strCache>
            </c:strRef>
          </c:tx>
          <c:invertIfNegative val="0"/>
          <c:cat>
            <c:numRef>
              <c:f>TrafficCount!$E$5:$I$5</c:f>
              <c:numCache>
                <c:formatCode>General</c:formatCode>
                <c:ptCount val="5"/>
                <c:pt idx="0">
                  <c:v>1996</c:v>
                </c:pt>
                <c:pt idx="1">
                  <c:v>1998</c:v>
                </c:pt>
                <c:pt idx="2">
                  <c:v>2001</c:v>
                </c:pt>
                <c:pt idx="3">
                  <c:v>2012</c:v>
                </c:pt>
                <c:pt idx="4">
                  <c:v>2015</c:v>
                </c:pt>
              </c:numCache>
            </c:numRef>
          </c:cat>
          <c:val>
            <c:numRef>
              <c:f>TrafficCount!$E$10:$I$10</c:f>
              <c:numCache>
                <c:formatCode>General</c:formatCode>
                <c:ptCount val="5"/>
                <c:pt idx="0" formatCode="#,##0">
                  <c:v>620</c:v>
                </c:pt>
                <c:pt idx="2" formatCode="#,##0">
                  <c:v>770</c:v>
                </c:pt>
                <c:pt idx="3" formatCode="#,##0">
                  <c:v>790</c:v>
                </c:pt>
                <c:pt idx="4" formatCode="#,##0">
                  <c:v>700</c:v>
                </c:pt>
              </c:numCache>
            </c:numRef>
          </c:val>
          <c:extLst xmlns:c16r2="http://schemas.microsoft.com/office/drawing/2015/06/chart">
            <c:ext xmlns:c16="http://schemas.microsoft.com/office/drawing/2014/chart" uri="{C3380CC4-5D6E-409C-BE32-E72D297353CC}">
              <c16:uniqueId val="{00000004-BCE4-4239-88E7-977F4AA7A1A2}"/>
            </c:ext>
          </c:extLst>
        </c:ser>
        <c:dLbls>
          <c:showLegendKey val="0"/>
          <c:showVal val="0"/>
          <c:showCatName val="0"/>
          <c:showSerName val="0"/>
          <c:showPercent val="0"/>
          <c:showBubbleSize val="0"/>
        </c:dLbls>
        <c:gapWidth val="150"/>
        <c:axId val="134680960"/>
        <c:axId val="134682496"/>
      </c:barChart>
      <c:catAx>
        <c:axId val="134680960"/>
        <c:scaling>
          <c:orientation val="minMax"/>
        </c:scaling>
        <c:delete val="0"/>
        <c:axPos val="l"/>
        <c:numFmt formatCode="General" sourceLinked="1"/>
        <c:majorTickMark val="out"/>
        <c:minorTickMark val="none"/>
        <c:tickLblPos val="nextTo"/>
        <c:txPr>
          <a:bodyPr/>
          <a:lstStyle/>
          <a:p>
            <a:pPr>
              <a:defRPr>
                <a:latin typeface="+mj-lt"/>
              </a:defRPr>
            </a:pPr>
            <a:endParaRPr lang="en-US"/>
          </a:p>
        </c:txPr>
        <c:crossAx val="134682496"/>
        <c:crosses val="autoZero"/>
        <c:auto val="1"/>
        <c:lblAlgn val="ctr"/>
        <c:lblOffset val="100"/>
        <c:noMultiLvlLbl val="0"/>
      </c:catAx>
      <c:valAx>
        <c:axId val="134682496"/>
        <c:scaling>
          <c:orientation val="minMax"/>
        </c:scaling>
        <c:delete val="0"/>
        <c:axPos val="b"/>
        <c:majorGridlines/>
        <c:numFmt formatCode="#,##0" sourceLinked="1"/>
        <c:majorTickMark val="out"/>
        <c:minorTickMark val="none"/>
        <c:tickLblPos val="nextTo"/>
        <c:txPr>
          <a:bodyPr/>
          <a:lstStyle/>
          <a:p>
            <a:pPr>
              <a:defRPr>
                <a:latin typeface="+mj-lt"/>
              </a:defRPr>
            </a:pPr>
            <a:endParaRPr lang="en-US"/>
          </a:p>
        </c:txPr>
        <c:crossAx val="134680960"/>
        <c:crosses val="autoZero"/>
        <c:crossBetween val="between"/>
      </c:valAx>
    </c:plotArea>
    <c:legend>
      <c:legendPos val="r"/>
      <c:overlay val="0"/>
      <c:txPr>
        <a:bodyPr/>
        <a:lstStyle/>
        <a:p>
          <a:pPr>
            <a:defRPr>
              <a:latin typeface="+mj-lt"/>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5F60-8CB6-4D76-B6D9-B3FF961D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Johns family</Company>
  <LinksUpToDate>false</LinksUpToDate>
  <CharactersWithSpaces>28139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Eric Johns</dc:creator>
  <cp:lastModifiedBy>Bruce</cp:lastModifiedBy>
  <cp:revision>2</cp:revision>
  <dcterms:created xsi:type="dcterms:W3CDTF">2021-03-03T16:31:00Z</dcterms:created>
  <dcterms:modified xsi:type="dcterms:W3CDTF">2021-03-03T16:31:00Z</dcterms:modified>
</cp:coreProperties>
</file>