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FBFDE" w14:textId="252767FF" w:rsidR="00CE7F49" w:rsidRDefault="00CE7F49" w:rsidP="0049550B">
      <w:pPr>
        <w:spacing w:after="1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PUBLIC </w:t>
      </w:r>
      <w:r w:rsidR="00950455">
        <w:rPr>
          <w:rFonts w:asciiTheme="majorHAnsi" w:hAnsiTheme="majorHAnsi"/>
          <w:b/>
        </w:rPr>
        <w:t>ENGAGEMENT</w:t>
      </w:r>
    </w:p>
    <w:p w14:paraId="73CD5D0D" w14:textId="77777777" w:rsidR="001F24A5" w:rsidRDefault="001F24A5" w:rsidP="0049550B">
      <w:pPr>
        <w:spacing w:after="120"/>
        <w:jc w:val="center"/>
        <w:rPr>
          <w:rFonts w:asciiTheme="majorHAnsi" w:hAnsiTheme="majorHAnsi"/>
          <w:b/>
        </w:rPr>
      </w:pPr>
    </w:p>
    <w:p w14:paraId="5C63AC99" w14:textId="32B98F2A" w:rsidR="00441EF6" w:rsidRDefault="008647C4" w:rsidP="00441EF6">
      <w:pPr>
        <w:spacing w:after="1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Preparing a </w:t>
      </w:r>
      <w:r w:rsidR="0049550B">
        <w:rPr>
          <w:rFonts w:asciiTheme="majorHAnsi" w:hAnsiTheme="majorHAnsi"/>
          <w:bCs/>
        </w:rPr>
        <w:t xml:space="preserve">comprehensive </w:t>
      </w:r>
      <w:r>
        <w:rPr>
          <w:rFonts w:asciiTheme="majorHAnsi" w:hAnsiTheme="majorHAnsi"/>
          <w:bCs/>
        </w:rPr>
        <w:t>plan with significant public participation for a town such as Clifton can present challenges.  As a general rule, town meetings typically are attended by possibly 30 or so citizens</w:t>
      </w:r>
      <w:r w:rsidR="0049550B">
        <w:rPr>
          <w:rFonts w:asciiTheme="majorHAnsi" w:hAnsiTheme="majorHAnsi"/>
          <w:bCs/>
        </w:rPr>
        <w:t xml:space="preserve"> out of a town population that is approaching 1,000</w:t>
      </w:r>
      <w:r>
        <w:rPr>
          <w:rFonts w:asciiTheme="majorHAnsi" w:hAnsiTheme="majorHAnsi"/>
          <w:bCs/>
        </w:rPr>
        <w:t xml:space="preserve">.  Additionally, </w:t>
      </w:r>
      <w:r w:rsidR="0049550B">
        <w:rPr>
          <w:rFonts w:asciiTheme="majorHAnsi" w:hAnsiTheme="majorHAnsi"/>
          <w:bCs/>
        </w:rPr>
        <w:t>finding volunteers to participate in town activities has, in recent years, proven problematic.</w:t>
      </w:r>
      <w:r w:rsidR="00DF50C0">
        <w:rPr>
          <w:rFonts w:asciiTheme="majorHAnsi" w:hAnsiTheme="majorHAnsi"/>
          <w:bCs/>
        </w:rPr>
        <w:t xml:space="preserve">  </w:t>
      </w:r>
      <w:r w:rsidR="0049550B">
        <w:rPr>
          <w:rFonts w:asciiTheme="majorHAnsi" w:hAnsiTheme="majorHAnsi"/>
          <w:bCs/>
        </w:rPr>
        <w:t>As an example, at times the town’s Planning Board has been short a full member.  Typically,</w:t>
      </w:r>
      <w:r>
        <w:rPr>
          <w:rFonts w:asciiTheme="majorHAnsi" w:hAnsiTheme="majorHAnsi"/>
          <w:bCs/>
        </w:rPr>
        <w:t xml:space="preserve"> </w:t>
      </w:r>
      <w:r w:rsidR="0049550B">
        <w:rPr>
          <w:rFonts w:asciiTheme="majorHAnsi" w:hAnsiTheme="majorHAnsi"/>
          <w:bCs/>
        </w:rPr>
        <w:t xml:space="preserve">the Planning Board will only have one alternate member, if at all.  </w:t>
      </w:r>
      <w:r w:rsidR="00DF50C0">
        <w:rPr>
          <w:rFonts w:asciiTheme="majorHAnsi" w:hAnsiTheme="majorHAnsi"/>
          <w:bCs/>
        </w:rPr>
        <w:t xml:space="preserve">Despite repeated calls for volunteers to assist in preparing the town’s comprehensive plan, there were few citizens willing or able to lend a hand.  </w:t>
      </w:r>
      <w:r w:rsidR="0049550B">
        <w:rPr>
          <w:rFonts w:asciiTheme="majorHAnsi" w:hAnsiTheme="majorHAnsi"/>
          <w:bCs/>
        </w:rPr>
        <w:t xml:space="preserve">Nevertheless, the town leadership </w:t>
      </w:r>
      <w:r w:rsidR="00DF50C0">
        <w:rPr>
          <w:rFonts w:asciiTheme="majorHAnsi" w:hAnsiTheme="majorHAnsi"/>
          <w:bCs/>
        </w:rPr>
        <w:t>has made and continues to make</w:t>
      </w:r>
      <w:r w:rsidR="0049550B">
        <w:rPr>
          <w:rFonts w:asciiTheme="majorHAnsi" w:hAnsiTheme="majorHAnsi"/>
          <w:bCs/>
        </w:rPr>
        <w:t xml:space="preserve"> every effort to encourage </w:t>
      </w:r>
      <w:r w:rsidR="00460F5B">
        <w:rPr>
          <w:rFonts w:asciiTheme="majorHAnsi" w:hAnsiTheme="majorHAnsi"/>
          <w:bCs/>
        </w:rPr>
        <w:t xml:space="preserve">the public’s </w:t>
      </w:r>
      <w:r w:rsidR="0049550B">
        <w:rPr>
          <w:rFonts w:asciiTheme="majorHAnsi" w:hAnsiTheme="majorHAnsi"/>
          <w:bCs/>
        </w:rPr>
        <w:t xml:space="preserve">participation in </w:t>
      </w:r>
      <w:r w:rsidR="00460F5B">
        <w:rPr>
          <w:rFonts w:asciiTheme="majorHAnsi" w:hAnsiTheme="majorHAnsi"/>
          <w:bCs/>
        </w:rPr>
        <w:t>writing the comprehensive plan</w:t>
      </w:r>
      <w:r w:rsidR="0049550B">
        <w:rPr>
          <w:rFonts w:asciiTheme="majorHAnsi" w:hAnsiTheme="majorHAnsi"/>
          <w:bCs/>
        </w:rPr>
        <w:t xml:space="preserve"> and to keep its citizens informed</w:t>
      </w:r>
      <w:r w:rsidR="00460F5B">
        <w:rPr>
          <w:rFonts w:asciiTheme="majorHAnsi" w:hAnsiTheme="majorHAnsi"/>
          <w:bCs/>
        </w:rPr>
        <w:t xml:space="preserve"> of the plan’s formulation</w:t>
      </w:r>
      <w:r w:rsidR="00DF50C0">
        <w:rPr>
          <w:rFonts w:asciiTheme="majorHAnsi" w:hAnsiTheme="majorHAnsi"/>
          <w:bCs/>
        </w:rPr>
        <w:t>.  These efforts have included the use of the town’s website (</w:t>
      </w:r>
      <w:hyperlink r:id="rId8" w:history="1">
        <w:r w:rsidR="00DF50C0" w:rsidRPr="0065201C">
          <w:rPr>
            <w:rStyle w:val="Hyperlink"/>
            <w:rFonts w:asciiTheme="majorHAnsi" w:hAnsiTheme="majorHAnsi"/>
            <w:bCs/>
          </w:rPr>
          <w:t>www.cliftonme.com</w:t>
        </w:r>
      </w:hyperlink>
      <w:r w:rsidR="00DF50C0">
        <w:rPr>
          <w:rFonts w:asciiTheme="majorHAnsi" w:hAnsiTheme="majorHAnsi"/>
          <w:bCs/>
        </w:rPr>
        <w:t>)</w:t>
      </w:r>
      <w:r w:rsidR="00460F5B">
        <w:rPr>
          <w:rFonts w:asciiTheme="majorHAnsi" w:hAnsiTheme="majorHAnsi"/>
          <w:bCs/>
        </w:rPr>
        <w:t xml:space="preserve"> to post draft sections of the plan for public comment</w:t>
      </w:r>
      <w:r w:rsidR="00DF50C0">
        <w:rPr>
          <w:rFonts w:asciiTheme="majorHAnsi" w:hAnsiTheme="majorHAnsi"/>
          <w:bCs/>
        </w:rPr>
        <w:t xml:space="preserve">, Facebook, </w:t>
      </w:r>
      <w:r w:rsidR="00950455">
        <w:rPr>
          <w:rFonts w:asciiTheme="majorHAnsi" w:hAnsiTheme="majorHAnsi"/>
          <w:bCs/>
        </w:rPr>
        <w:t xml:space="preserve">a periodic newsletter, </w:t>
      </w:r>
      <w:r w:rsidR="00460F5B">
        <w:rPr>
          <w:rFonts w:asciiTheme="majorHAnsi" w:hAnsiTheme="majorHAnsi"/>
          <w:bCs/>
        </w:rPr>
        <w:t>regularly scheduled public meetings and a public hearing dedicated to citizen input.</w:t>
      </w:r>
    </w:p>
    <w:p w14:paraId="3FA7318C" w14:textId="6FDCCA6A" w:rsidR="003F03D3" w:rsidRDefault="00460F5B" w:rsidP="003F03D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Cs/>
        </w:rPr>
        <w:t>Additionally, t</w:t>
      </w:r>
      <w:r w:rsidR="00441EF6">
        <w:rPr>
          <w:rFonts w:asciiTheme="majorHAnsi" w:hAnsiTheme="majorHAnsi"/>
          <w:bCs/>
        </w:rPr>
        <w:t xml:space="preserve">o help guide the comprehensive plan committee, an opinion survey was conducted that ultimately </w:t>
      </w:r>
      <w:r w:rsidR="00950455">
        <w:rPr>
          <w:rFonts w:asciiTheme="majorHAnsi" w:hAnsiTheme="majorHAnsi"/>
          <w:bCs/>
        </w:rPr>
        <w:t xml:space="preserve">that played a very significant part in </w:t>
      </w:r>
      <w:r w:rsidR="00441EF6">
        <w:rPr>
          <w:rFonts w:asciiTheme="majorHAnsi" w:hAnsiTheme="majorHAnsi"/>
          <w:bCs/>
        </w:rPr>
        <w:t>providing a good sense of the direction the town wanted to go in.  Approximately 10 percent of the population responded.  The results were as follows: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532"/>
        <w:gridCol w:w="972"/>
        <w:gridCol w:w="972"/>
        <w:gridCol w:w="972"/>
        <w:gridCol w:w="1479"/>
        <w:gridCol w:w="1145"/>
      </w:tblGrid>
      <w:tr w:rsidR="003F03D3" w:rsidRPr="00AF1C3A" w14:paraId="2A0D884F" w14:textId="77777777" w:rsidTr="00271A03">
        <w:trPr>
          <w:trHeight w:val="1360"/>
          <w:tblHeader/>
          <w:jc w:val="center"/>
        </w:trPr>
        <w:tc>
          <w:tcPr>
            <w:tcW w:w="2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24A440" w14:textId="77777777" w:rsidR="003F03D3" w:rsidRDefault="003F03D3" w:rsidP="00271A03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Clifton Lifestyle Aspects and </w:t>
            </w:r>
          </w:p>
          <w:p w14:paraId="74BDDD4D" w14:textId="77777777" w:rsidR="003F03D3" w:rsidRPr="00AF1C3A" w:rsidRDefault="003F03D3" w:rsidP="00271A03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Relative Importance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2DFB9B3" w14:textId="77777777" w:rsidR="003F03D3" w:rsidRPr="00AF1C3A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IMPORTANT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4BE3E311" w14:textId="77777777" w:rsidR="003F03D3" w:rsidRPr="00AF1C3A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NO OPINION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008AD141" w14:textId="77777777" w:rsidR="003F03D3" w:rsidRPr="00AF1C3A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NOT IMPORTANT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688A686D" w14:textId="77777777" w:rsidR="003F03D3" w:rsidRPr="00AF1C3A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N/A OR I DON'T USE THIS ASSET OR RESOURCE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20D5182F" w14:textId="77777777" w:rsidR="003F03D3" w:rsidRPr="00AF1C3A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TOTAL RESPONDENTS</w:t>
            </w:r>
          </w:p>
        </w:tc>
      </w:tr>
      <w:tr w:rsidR="003F03D3" w:rsidRPr="00AF1C3A" w14:paraId="4DA380BF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123E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Proximity to Work (Bangor/Brewer/ Ellsworth Regions)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2A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58.44%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46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6.49%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543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15.58%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25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19.48%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10A0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73AE5FCE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0930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C32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281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4E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4EA6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F2C6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5DE1CF9C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65CA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Community Culture/Lifestyle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4E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67.53%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72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12.99%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9D2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10.39%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F97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9.09%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8E6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7030EE4E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8EA1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31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1367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30C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744B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0FE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0738B0C4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62A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School District (k-8)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E9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51.95%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F84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7.79%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F0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9.09%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6E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32.47%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AF9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75023F50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0C6C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E13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E348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35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DEB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31E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3AFFAF24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E7AE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High School Choice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5B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59.74%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94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6.49%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4A7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9.09%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63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25.97%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261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5783EF96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D1FD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5E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D475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D43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7DD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72B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103CDA38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4466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Real Estate Tax Rates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76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85.33%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D57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6.67%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6A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4.00%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D0B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4.00%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2CE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60E1DC1A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3E5C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E3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7FA3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BDB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00E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760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75</w:t>
            </w:r>
          </w:p>
        </w:tc>
      </w:tr>
      <w:tr w:rsidR="003F03D3" w:rsidRPr="00AF1C3A" w14:paraId="385289D3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C62F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Property Values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2C3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80.26%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CF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15.79%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4D2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0.00%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9C4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3.95%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701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3870C08D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40CA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6C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0DF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80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18A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546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AF1C3A" w14:paraId="3A45AB23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AABA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Scenic Environment/ Nature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2AD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86.67%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045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6.67%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6B6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4.00%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052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2.67%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936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7F7A0EDA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347C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98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0BD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690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4D7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5F44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75</w:t>
            </w:r>
          </w:p>
        </w:tc>
      </w:tr>
      <w:tr w:rsidR="003F03D3" w:rsidRPr="00AF1C3A" w14:paraId="596A1CD6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BC15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Access to ATV/Snowmobile Trail Networks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ED8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45.45%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DA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18.18%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3DC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19.48%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77D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18.18%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4B7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4D6C8FCF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2BF6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DA0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941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0A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56B5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4C7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7E496C9C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D2B6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Access to Walking/Non-Motorized Trail Networks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A25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68.83%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1BE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10.39%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79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12.99%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12F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7.79%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1A6B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1F308806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92AF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0B6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B77D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A4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46798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FC7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AF1C3A" w14:paraId="56024BE9" w14:textId="77777777" w:rsidTr="00271A03">
        <w:trPr>
          <w:trHeight w:hRule="exact" w:val="288"/>
          <w:jc w:val="center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0E65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Access to Broadband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5B8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86.84%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33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3.95%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65A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2.63%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595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6.58%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BA2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AF1C3A" w14:paraId="6CFF5239" w14:textId="77777777" w:rsidTr="00271A03">
        <w:trPr>
          <w:trHeight w:hRule="exact" w:val="288"/>
          <w:jc w:val="center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26FD1E" w14:textId="77777777" w:rsidR="003F03D3" w:rsidRPr="00AF1C3A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8B6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C87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BC9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8892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7C1" w14:textId="77777777" w:rsidR="003F03D3" w:rsidRPr="00AF1C3A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AF1C3A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</w:tbl>
    <w:p w14:paraId="1A02501E" w14:textId="77777777" w:rsidR="003F03D3" w:rsidRPr="00C86A25" w:rsidRDefault="003F03D3" w:rsidP="003F03D3">
      <w:pPr>
        <w:spacing w:before="120" w:after="120"/>
        <w:ind w:left="720"/>
        <w:rPr>
          <w:rFonts w:asciiTheme="majorHAnsi" w:hAnsiTheme="majorHAnsi"/>
          <w:sz w:val="20"/>
          <w:szCs w:val="20"/>
        </w:rPr>
      </w:pPr>
      <w:r w:rsidRPr="003B3741">
        <w:rPr>
          <w:rFonts w:asciiTheme="majorHAnsi" w:hAnsiTheme="majorHAnsi"/>
          <w:b/>
          <w:sz w:val="20"/>
          <w:szCs w:val="20"/>
          <w:highlight w:val="lightGray"/>
          <w:u w:val="single"/>
        </w:rPr>
        <w:lastRenderedPageBreak/>
        <w:t>Note</w:t>
      </w:r>
      <w:r w:rsidRPr="003B3741">
        <w:rPr>
          <w:rFonts w:asciiTheme="majorHAnsi" w:hAnsiTheme="majorHAnsi"/>
          <w:b/>
          <w:sz w:val="20"/>
          <w:szCs w:val="20"/>
          <w:highlight w:val="lightGray"/>
        </w:rPr>
        <w:t>:</w:t>
      </w:r>
      <w:r w:rsidRPr="003B3741">
        <w:rPr>
          <w:rFonts w:asciiTheme="majorHAnsi" w:hAnsiTheme="majorHAnsi"/>
          <w:sz w:val="20"/>
          <w:szCs w:val="20"/>
          <w:highlight w:val="lightGray"/>
        </w:rPr>
        <w:t xml:space="preserve"> 40% to 45% of the respondents either </w:t>
      </w:r>
      <w:r>
        <w:rPr>
          <w:rFonts w:asciiTheme="majorHAnsi" w:hAnsiTheme="majorHAnsi"/>
          <w:sz w:val="20"/>
          <w:szCs w:val="20"/>
          <w:highlight w:val="lightGray"/>
        </w:rPr>
        <w:t>“</w:t>
      </w:r>
      <w:r w:rsidRPr="003B3741">
        <w:rPr>
          <w:rFonts w:asciiTheme="majorHAnsi" w:hAnsiTheme="majorHAnsi"/>
          <w:sz w:val="20"/>
          <w:szCs w:val="20"/>
          <w:highlight w:val="lightGray"/>
        </w:rPr>
        <w:t>do not use</w:t>
      </w:r>
      <w:r>
        <w:rPr>
          <w:rFonts w:asciiTheme="majorHAnsi" w:hAnsiTheme="majorHAnsi"/>
          <w:sz w:val="20"/>
          <w:szCs w:val="20"/>
          <w:highlight w:val="lightGray"/>
        </w:rPr>
        <w:t xml:space="preserve">” or consider “not </w:t>
      </w:r>
      <w:r w:rsidRPr="003B3741">
        <w:rPr>
          <w:rFonts w:asciiTheme="majorHAnsi" w:hAnsiTheme="majorHAnsi"/>
          <w:sz w:val="20"/>
          <w:szCs w:val="20"/>
          <w:highlight w:val="lightGray"/>
        </w:rPr>
        <w:t>important</w:t>
      </w:r>
      <w:r>
        <w:rPr>
          <w:rFonts w:asciiTheme="majorHAnsi" w:hAnsiTheme="majorHAnsi"/>
          <w:sz w:val="20"/>
          <w:szCs w:val="20"/>
          <w:highlight w:val="lightGray"/>
        </w:rPr>
        <w:t>”</w:t>
      </w:r>
      <w:r w:rsidRPr="003B3741">
        <w:rPr>
          <w:rFonts w:asciiTheme="majorHAnsi" w:hAnsiTheme="majorHAnsi"/>
          <w:sz w:val="20"/>
          <w:szCs w:val="20"/>
          <w:highlight w:val="lightGray"/>
        </w:rPr>
        <w:t xml:space="preserve"> the school system and school choice aspects, which </w:t>
      </w:r>
      <w:r w:rsidRPr="003B3741">
        <w:rPr>
          <w:rFonts w:asciiTheme="majorHAnsi" w:hAnsiTheme="majorHAnsi"/>
          <w:i/>
          <w:sz w:val="20"/>
          <w:szCs w:val="20"/>
          <w:highlight w:val="lightGray"/>
          <w:u w:val="single"/>
        </w:rPr>
        <w:t>represent 65% of the property tax</w:t>
      </w:r>
      <w:r w:rsidRPr="003B3741">
        <w:rPr>
          <w:rFonts w:asciiTheme="majorHAnsi" w:hAnsiTheme="majorHAnsi"/>
          <w:sz w:val="20"/>
          <w:szCs w:val="20"/>
          <w:highlight w:val="lightGray"/>
        </w:rPr>
        <w:t>.</w:t>
      </w:r>
    </w:p>
    <w:p w14:paraId="65C848AB" w14:textId="77777777" w:rsidR="003F03D3" w:rsidRPr="000E7C05" w:rsidRDefault="003F03D3" w:rsidP="003F03D3">
      <w:pPr>
        <w:spacing w:after="240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7CD3ACC" wp14:editId="17559AB9">
            <wp:extent cx="5943600" cy="2614152"/>
            <wp:effectExtent l="0" t="0" r="25400" b="279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CC4911" w14:textId="47CDB0BA" w:rsidR="003F03D3" w:rsidRDefault="003F03D3" w:rsidP="003F03D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 response to the survey question, “</w:t>
      </w:r>
      <w:r w:rsidRPr="00D51747">
        <w:rPr>
          <w:rFonts w:asciiTheme="majorHAnsi" w:hAnsiTheme="majorHAnsi"/>
        </w:rPr>
        <w:t>Should the town put more effort into developing local busine</w:t>
      </w:r>
      <w:r>
        <w:rPr>
          <w:rFonts w:asciiTheme="majorHAnsi" w:hAnsiTheme="majorHAnsi"/>
        </w:rPr>
        <w:t>sses and employment opportunity,” 71 people responded with 66% answering “yes” and the remainder “no.”  The following table and chart show opinions to specific development preferences or land use practices including preservation (extreme limitations on activities – more like a park environment) and conservation (mixed and shared use such as most of the land today).  Twice as many people favored conservation versus preservation while 62% still favor preserving and protecting key scenic terrain.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902"/>
        <w:gridCol w:w="1300"/>
        <w:gridCol w:w="815"/>
        <w:gridCol w:w="815"/>
        <w:gridCol w:w="815"/>
        <w:gridCol w:w="1240"/>
        <w:gridCol w:w="473"/>
      </w:tblGrid>
      <w:tr w:rsidR="003F03D3" w:rsidRPr="00573A7F" w14:paraId="25E28778" w14:textId="77777777" w:rsidTr="00271A03">
        <w:trPr>
          <w:trHeight w:val="2380"/>
          <w:tblHeader/>
          <w:jc w:val="center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BD883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Clifton Land Use Development Preferences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44DCA11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REALLY LIKE THIS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674DDC05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FAVORABLE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0FE90BF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NO OPINION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103BC90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UNFAVORABLE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765BD98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REALLY DON'T LIKE THIS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152775E5" w14:textId="77777777" w:rsidR="003F03D3" w:rsidRPr="00573A7F" w:rsidRDefault="003F03D3" w:rsidP="00271A03">
            <w:pPr>
              <w:jc w:val="center"/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b/>
                <w:bCs/>
                <w:color w:val="333E48"/>
                <w:sz w:val="20"/>
                <w:szCs w:val="20"/>
              </w:rPr>
              <w:t>TOTAL</w:t>
            </w:r>
          </w:p>
        </w:tc>
      </w:tr>
      <w:tr w:rsidR="003F03D3" w:rsidRPr="00573A7F" w14:paraId="20D7EB06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E73BFB0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a business to develop the former Leon Williams Saw Mill site, which is our local designated industrial zone.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C8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53.25%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4E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37.66%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D0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5.19%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7F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9D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1.30%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6F5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</w:tr>
      <w:tr w:rsidR="003F03D3" w:rsidRPr="00573A7F" w14:paraId="43CDC834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0CBD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40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B7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D4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E9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8D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866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573A7F" w14:paraId="0B413BE6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88641DD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more wind energy development.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65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27.27%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08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29.87%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5D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15.58%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3D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11.69%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CB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15.58%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01D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594229A1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A558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30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AA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C6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B7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16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F8A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573A7F" w14:paraId="574C01AD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A43E9F7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solar energy development (similar to the 40,000 panel site in Pittsfield, for example).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8D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41.56%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64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31.17%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51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16.88%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48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C8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10.39%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D53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4D42D68A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329A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EE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24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66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BD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15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E32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573A7F" w14:paraId="3F613274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82D57E2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biofuel energy development (forest or other agricultural plant based energy resource).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43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18.18%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E3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36.36%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01E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24.68%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F2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F2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5.19%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279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62363626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67C8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CC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B5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65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E7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82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F17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573A7F" w14:paraId="006CD1B8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4C83A6D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development along the Route 9 corridor.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3A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32.89%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7E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39.47%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13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15.79%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41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7.89%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9C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3.95%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BF5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122028E7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63FE8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CB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B5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A7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1E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73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7CA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573A7F" w14:paraId="37BFF624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6CDE0A9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lastRenderedPageBreak/>
              <w:t>Encourage more preservation (limit or reduce timber harvesting, motorized trail access, motorized boating, etc</w:t>
            </w:r>
            <w: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.</w:t>
            </w: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 xml:space="preserve"> - create a more park like atmosphere).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CD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13.16%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DA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35.53%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61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23.68%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1D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0DA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11.84%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F976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7E2061AC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877D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A0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3A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A3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C0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F53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9F0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573A7F" w14:paraId="54EF6257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B50020A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conservation and resource management (work with land owners to produce timber and other natural resources using good sustainment principles - traditional working Maine forests).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B8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27.63%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85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44.74%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37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22.37%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F7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1.32%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68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3.95%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3C2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0D0E6540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8DC6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3E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18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B0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D3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4A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C63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573A7F" w14:paraId="5DC9A17E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C4F101A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Continue to protect scenic places such as Eagle Bluff, Big Peaked and Little Peaked Mountain (aka Chick Hill).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D1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62.34%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65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24.68%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D2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7.79%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E1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65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2.60%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12C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1147CB71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3492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7B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30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3B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3F2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D6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973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77</w:t>
            </w:r>
          </w:p>
        </w:tc>
      </w:tr>
      <w:tr w:rsidR="003F03D3" w:rsidRPr="00573A7F" w14:paraId="22A3C418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A545E15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subdivision development.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FA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14.67%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3E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21.33%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1E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33.33%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BF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17.33%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D4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13.33%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753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35DFDF64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977E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79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23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1B8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32B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37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546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75</w:t>
            </w:r>
          </w:p>
        </w:tc>
      </w:tr>
      <w:tr w:rsidR="003F03D3" w:rsidRPr="00573A7F" w14:paraId="06BDC603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889CF59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rental multi-unit housing development.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93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13.33%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EF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25.33%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6E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22.67%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27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91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20.00%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935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1ECBE237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0907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44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C9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B3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C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7D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30C5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75</w:t>
            </w:r>
          </w:p>
        </w:tc>
      </w:tr>
      <w:tr w:rsidR="003F03D3" w:rsidRPr="00573A7F" w14:paraId="59754416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EB219FF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condominium (basically owned multi-unit housing) development.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01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14.47%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2B8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17.11%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439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34.21%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1C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02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15.79%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4A3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0B239351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D5CA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90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00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0D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2F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AA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03F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573A7F" w14:paraId="3C25E192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ED73E93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Encourage commercial strip mall/shop type development.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76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18.42%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B5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21.05%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AC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13.16%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580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25.00%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923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22.37%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C8F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 </w:t>
            </w:r>
          </w:p>
        </w:tc>
      </w:tr>
      <w:tr w:rsidR="003F03D3" w:rsidRPr="00573A7F" w14:paraId="448516C8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6F30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36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E3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37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D97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B28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7B4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  <w:tr w:rsidR="003F03D3" w:rsidRPr="00573A7F" w14:paraId="1326AC9A" w14:textId="77777777" w:rsidTr="00271A03">
        <w:trPr>
          <w:trHeight w:val="280"/>
          <w:jc w:val="center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0C7E061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Be more proactive managing water</w:t>
            </w:r>
            <w: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 xml:space="preserve"> </w:t>
            </w: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body levels in local lakes and ponds.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E6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38.16%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46A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30.26%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111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26.32%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99C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1.32%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6B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3.95%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564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</w:tr>
      <w:tr w:rsidR="003F03D3" w:rsidRPr="00573A7F" w14:paraId="039AB885" w14:textId="77777777" w:rsidTr="00271A03">
        <w:trPr>
          <w:trHeight w:val="280"/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B8394E" w14:textId="77777777" w:rsidR="003F03D3" w:rsidRPr="00573A7F" w:rsidRDefault="003F03D3" w:rsidP="00271A03">
            <w:pPr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95E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16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156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B0D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79F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904" w14:textId="77777777" w:rsidR="003F03D3" w:rsidRPr="00573A7F" w:rsidRDefault="003F03D3" w:rsidP="00271A03">
            <w:pPr>
              <w:jc w:val="right"/>
              <w:rPr>
                <w:rFonts w:ascii="Calibri" w:eastAsia="Times New Roman" w:hAnsi="Calibri" w:cs="Arial"/>
                <w:color w:val="333E48"/>
                <w:sz w:val="20"/>
                <w:szCs w:val="20"/>
              </w:rPr>
            </w:pPr>
            <w:r w:rsidRPr="00573A7F">
              <w:rPr>
                <w:rFonts w:ascii="Calibri" w:eastAsia="Times New Roman" w:hAnsi="Calibri" w:cs="Arial"/>
                <w:color w:val="333E48"/>
                <w:sz w:val="20"/>
                <w:szCs w:val="20"/>
              </w:rPr>
              <w:t>76</w:t>
            </w:r>
          </w:p>
        </w:tc>
      </w:tr>
    </w:tbl>
    <w:p w14:paraId="61A58687" w14:textId="77777777" w:rsidR="003F03D3" w:rsidRDefault="003F03D3" w:rsidP="003F03D3">
      <w:pPr>
        <w:spacing w:after="120"/>
        <w:rPr>
          <w:rFonts w:asciiTheme="majorHAnsi" w:hAnsiTheme="majorHAnsi"/>
        </w:rPr>
      </w:pPr>
    </w:p>
    <w:p w14:paraId="2626DC6F" w14:textId="77777777" w:rsidR="003F03D3" w:rsidRPr="00334E9D" w:rsidRDefault="003F03D3" w:rsidP="003F03D3">
      <w:pPr>
        <w:spacing w:after="120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4A1D735D" wp14:editId="66DF8D8D">
            <wp:extent cx="5829300" cy="3242945"/>
            <wp:effectExtent l="0" t="0" r="12700" b="336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79CE87" w14:textId="2A633777" w:rsidR="00EA7B09" w:rsidRDefault="003F03D3" w:rsidP="001F24A5">
      <w:pPr>
        <w:spacing w:after="120"/>
      </w:pPr>
      <w:r>
        <w:rPr>
          <w:rFonts w:asciiTheme="majorHAnsi" w:hAnsiTheme="majorHAnsi"/>
        </w:rPr>
        <w:t>Based upon the survey, there is very solid community support for some form of economic development effort – particularly to the specific question, “S</w:t>
      </w:r>
      <w:r w:rsidRPr="00D51747">
        <w:rPr>
          <w:rFonts w:asciiTheme="majorHAnsi" w:hAnsiTheme="majorHAnsi"/>
        </w:rPr>
        <w:t>hould the town put more effort into developing local busine</w:t>
      </w:r>
      <w:r>
        <w:rPr>
          <w:rFonts w:asciiTheme="majorHAnsi" w:hAnsiTheme="majorHAnsi"/>
        </w:rPr>
        <w:t xml:space="preserve">sses and employment opportunity?” The answer was yes by over 66%. </w:t>
      </w:r>
      <w:r w:rsidR="005F13C4">
        <w:rPr>
          <w:rFonts w:asciiTheme="majorHAnsi" w:hAnsiTheme="majorHAnsi"/>
        </w:rPr>
        <w:t xml:space="preserve"> Moreover, some 90%</w:t>
      </w:r>
      <w:r>
        <w:rPr>
          <w:rFonts w:asciiTheme="majorHAnsi" w:hAnsiTheme="majorHAnsi"/>
        </w:rPr>
        <w:t xml:space="preserve"> respondents would like to see the former saw mill parcel</w:t>
      </w:r>
      <w:r w:rsidR="005F13C4">
        <w:rPr>
          <w:rFonts w:asciiTheme="majorHAnsi" w:hAnsiTheme="majorHAnsi"/>
        </w:rPr>
        <w:t xml:space="preserve"> on Route 9</w:t>
      </w:r>
      <w:r>
        <w:rPr>
          <w:rFonts w:asciiTheme="majorHAnsi" w:hAnsiTheme="majorHAnsi"/>
        </w:rPr>
        <w:t xml:space="preserve">, currently the only industrial zone in Clifton, developed.  </w:t>
      </w:r>
      <w:r w:rsidR="005F13C4">
        <w:rPr>
          <w:rFonts w:asciiTheme="majorHAnsi" w:hAnsiTheme="majorHAnsi"/>
        </w:rPr>
        <w:t xml:space="preserve">That said, in 2021 the town’s Planning Board approved a permit to construct </w:t>
      </w:r>
      <w:proofErr w:type="gramStart"/>
      <w:r w:rsidR="005F13C4">
        <w:rPr>
          <w:rFonts w:asciiTheme="majorHAnsi" w:hAnsiTheme="majorHAnsi"/>
        </w:rPr>
        <w:t>an</w:t>
      </w:r>
      <w:proofErr w:type="gramEnd"/>
      <w:r w:rsidR="005F13C4">
        <w:rPr>
          <w:rFonts w:asciiTheme="majorHAnsi" w:hAnsiTheme="majorHAnsi"/>
        </w:rPr>
        <w:t xml:space="preserve"> 20 acre solar array on a portion of that property.</w:t>
      </w:r>
      <w:r w:rsidR="001F24A5">
        <w:rPr>
          <w:rFonts w:asciiTheme="majorHAnsi" w:hAnsiTheme="majorHAnsi"/>
        </w:rPr>
        <w:t xml:space="preserve">  Other major dev elopement projects that would appear to align with this preference is the upcoming construction of the 5 turbine Silver Maple wind project which will be built adjacent to the existing Pisgah Mountain wind farm that became operational in 2016.</w:t>
      </w:r>
    </w:p>
    <w:sectPr w:rsidR="00EA7B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0C97" w14:textId="77777777" w:rsidR="006B7D7E" w:rsidRDefault="006B7D7E" w:rsidP="008578B8">
      <w:r>
        <w:separator/>
      </w:r>
    </w:p>
  </w:endnote>
  <w:endnote w:type="continuationSeparator" w:id="0">
    <w:p w14:paraId="7ED1797D" w14:textId="77777777" w:rsidR="006B7D7E" w:rsidRDefault="006B7D7E" w:rsidP="008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2F9E3" w14:textId="77777777" w:rsidR="008578B8" w:rsidRDefault="00857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BECB" w14:textId="77777777" w:rsidR="008578B8" w:rsidRDefault="00857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5219" w14:textId="77777777" w:rsidR="008578B8" w:rsidRDefault="00857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53F8" w14:textId="77777777" w:rsidR="006B7D7E" w:rsidRDefault="006B7D7E" w:rsidP="008578B8">
      <w:r>
        <w:separator/>
      </w:r>
    </w:p>
  </w:footnote>
  <w:footnote w:type="continuationSeparator" w:id="0">
    <w:p w14:paraId="045CE040" w14:textId="77777777" w:rsidR="006B7D7E" w:rsidRDefault="006B7D7E" w:rsidP="0085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AA0D" w14:textId="4B5B32A6" w:rsidR="008578B8" w:rsidRDefault="008578B8">
    <w:pPr>
      <w:pStyle w:val="Header"/>
    </w:pPr>
    <w:r>
      <w:rPr>
        <w:noProof/>
      </w:rPr>
      <w:pict w14:anchorId="4240C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93032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V 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987F" w14:textId="64B854F9" w:rsidR="008578B8" w:rsidRDefault="008578B8">
    <w:pPr>
      <w:pStyle w:val="Header"/>
    </w:pPr>
    <w:r>
      <w:rPr>
        <w:noProof/>
      </w:rPr>
      <w:pict w14:anchorId="1FE30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93033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V 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6C03" w14:textId="347F393E" w:rsidR="008578B8" w:rsidRDefault="008578B8">
    <w:pPr>
      <w:pStyle w:val="Header"/>
    </w:pPr>
    <w:r>
      <w:rPr>
        <w:noProof/>
      </w:rPr>
      <w:pict w14:anchorId="6BC30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93032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V 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3"/>
    <w:rsid w:val="000A7511"/>
    <w:rsid w:val="001F24A5"/>
    <w:rsid w:val="002A5856"/>
    <w:rsid w:val="003F03D3"/>
    <w:rsid w:val="00441EF6"/>
    <w:rsid w:val="00460F5B"/>
    <w:rsid w:val="0049550B"/>
    <w:rsid w:val="005F13C4"/>
    <w:rsid w:val="006B7D7E"/>
    <w:rsid w:val="008578B8"/>
    <w:rsid w:val="008647C4"/>
    <w:rsid w:val="00950455"/>
    <w:rsid w:val="00CE7F49"/>
    <w:rsid w:val="00DF50C0"/>
    <w:rsid w:val="00EA7B09"/>
    <w:rsid w:val="00F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123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3D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F03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0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B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B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3D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F03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0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B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B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ton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50">
                <a:latin typeface="+mj-lt"/>
              </a:defRPr>
            </a:pPr>
            <a:r>
              <a:rPr lang="en-US" sz="1050">
                <a:latin typeface="+mj-lt"/>
              </a:rPr>
              <a:t>Clifton Lifestyle Aspects</a:t>
            </a:r>
            <a:r>
              <a:rPr lang="en-US" sz="1050" baseline="0">
                <a:latin typeface="+mj-lt"/>
              </a:rPr>
              <a:t> and Relative Importance</a:t>
            </a:r>
            <a:endParaRPr lang="en-US" sz="1050">
              <a:latin typeface="+mj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Sheet4!$E$5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(Sheet4!$D$6,Sheet4!$D$8,Sheet4!$D$10,Sheet4!$D$12,Sheet4!$D$14,Sheet4!$D$16,Sheet4!$D$18,Sheet4!$D$20,Sheet4!$D$22,Sheet4!$D$24)</c:f>
              <c:strCache>
                <c:ptCount val="10"/>
                <c:pt idx="0">
                  <c:v>Proximity to Work</c:v>
                </c:pt>
                <c:pt idx="1">
                  <c:v>Community Culture</c:v>
                </c:pt>
                <c:pt idx="2">
                  <c:v>School District (k-8)</c:v>
                </c:pt>
                <c:pt idx="3">
                  <c:v>High School Choice</c:v>
                </c:pt>
                <c:pt idx="4">
                  <c:v>Real Estate Tax Rates</c:v>
                </c:pt>
                <c:pt idx="5">
                  <c:v>Property Values</c:v>
                </c:pt>
                <c:pt idx="6">
                  <c:v>Environment/Nature</c:v>
                </c:pt>
                <c:pt idx="7">
                  <c:v>Motorized Networks</c:v>
                </c:pt>
                <c:pt idx="8">
                  <c:v>Hike/Bike Networks</c:v>
                </c:pt>
                <c:pt idx="9">
                  <c:v>Access to Broadband</c:v>
                </c:pt>
              </c:strCache>
            </c:strRef>
          </c:cat>
          <c:val>
            <c:numRef>
              <c:f>(Sheet4!$E$6,Sheet4!$E$8,Sheet4!$E$10,Sheet4!$E$12,Sheet4!$E$14,Sheet4!$E$16,Sheet4!$E$18,Sheet4!$E$20,Sheet4!$E$22,Sheet4!$E$24)</c:f>
              <c:numCache>
                <c:formatCode>0.00%</c:formatCode>
                <c:ptCount val="10"/>
                <c:pt idx="0">
                  <c:v>0.58440000000000003</c:v>
                </c:pt>
                <c:pt idx="1">
                  <c:v>0.67530000000000001</c:v>
                </c:pt>
                <c:pt idx="2">
                  <c:v>0.51949999999999996</c:v>
                </c:pt>
                <c:pt idx="3">
                  <c:v>0.59740000000000004</c:v>
                </c:pt>
                <c:pt idx="4">
                  <c:v>0.85329999999999995</c:v>
                </c:pt>
                <c:pt idx="5">
                  <c:v>0.80259999999999998</c:v>
                </c:pt>
                <c:pt idx="6">
                  <c:v>0.86670000000000003</c:v>
                </c:pt>
                <c:pt idx="7">
                  <c:v>0.45450000000000002</c:v>
                </c:pt>
                <c:pt idx="8">
                  <c:v>0.68830000000000002</c:v>
                </c:pt>
                <c:pt idx="9">
                  <c:v>0.86839999999999995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47-4D77-8BB0-260B68F64B13}"/>
            </c:ext>
          </c:extLst>
        </c:ser>
        <c:ser>
          <c:idx val="1"/>
          <c:order val="1"/>
          <c:tx>
            <c:strRef>
              <c:f>Sheet4!$F$5</c:f>
              <c:strCache>
                <c:ptCount val="1"/>
                <c:pt idx="0">
                  <c:v>NO OPINION</c:v>
                </c:pt>
              </c:strCache>
            </c:strRef>
          </c:tx>
          <c:invertIfNegative val="0"/>
          <c:cat>
            <c:strRef>
              <c:f>(Sheet4!$D$6,Sheet4!$D$8,Sheet4!$D$10,Sheet4!$D$12,Sheet4!$D$14,Sheet4!$D$16,Sheet4!$D$18,Sheet4!$D$20,Sheet4!$D$22,Sheet4!$D$24)</c:f>
              <c:strCache>
                <c:ptCount val="10"/>
                <c:pt idx="0">
                  <c:v>Proximity to Work</c:v>
                </c:pt>
                <c:pt idx="1">
                  <c:v>Community Culture</c:v>
                </c:pt>
                <c:pt idx="2">
                  <c:v>School District (k-8)</c:v>
                </c:pt>
                <c:pt idx="3">
                  <c:v>High School Choice</c:v>
                </c:pt>
                <c:pt idx="4">
                  <c:v>Real Estate Tax Rates</c:v>
                </c:pt>
                <c:pt idx="5">
                  <c:v>Property Values</c:v>
                </c:pt>
                <c:pt idx="6">
                  <c:v>Environment/Nature</c:v>
                </c:pt>
                <c:pt idx="7">
                  <c:v>Motorized Networks</c:v>
                </c:pt>
                <c:pt idx="8">
                  <c:v>Hike/Bike Networks</c:v>
                </c:pt>
                <c:pt idx="9">
                  <c:v>Access to Broadband</c:v>
                </c:pt>
              </c:strCache>
            </c:strRef>
          </c:cat>
          <c:val>
            <c:numRef>
              <c:f>(Sheet4!$F$6,Sheet4!$F$8,Sheet4!$F$10,Sheet4!$F$12,Sheet4!$F$14,Sheet4!$F$16,Sheet4!$F$18,Sheet4!$F$20,Sheet4!$F$22,Sheet4!$F$24)</c:f>
              <c:numCache>
                <c:formatCode>0.00%</c:formatCode>
                <c:ptCount val="10"/>
                <c:pt idx="0">
                  <c:v>6.4899999999999999E-2</c:v>
                </c:pt>
                <c:pt idx="1">
                  <c:v>0.12989999999999999</c:v>
                </c:pt>
                <c:pt idx="2">
                  <c:v>7.7899999999999997E-2</c:v>
                </c:pt>
                <c:pt idx="3">
                  <c:v>6.4899999999999999E-2</c:v>
                </c:pt>
                <c:pt idx="4">
                  <c:v>6.6699999999999995E-2</c:v>
                </c:pt>
                <c:pt idx="5">
                  <c:v>0.15790000000000001</c:v>
                </c:pt>
                <c:pt idx="6">
                  <c:v>6.6699999999999995E-2</c:v>
                </c:pt>
                <c:pt idx="7">
                  <c:v>0.18179999999999999</c:v>
                </c:pt>
                <c:pt idx="8">
                  <c:v>0.10390000000000001</c:v>
                </c:pt>
                <c:pt idx="9">
                  <c:v>3.95E-2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47-4D77-8BB0-260B68F64B13}"/>
            </c:ext>
          </c:extLst>
        </c:ser>
        <c:ser>
          <c:idx val="2"/>
          <c:order val="2"/>
          <c:tx>
            <c:strRef>
              <c:f>Sheet4!$G$5</c:f>
              <c:strCache>
                <c:ptCount val="1"/>
                <c:pt idx="0">
                  <c:v>NOT IMPORTANT</c:v>
                </c:pt>
              </c:strCache>
            </c:strRef>
          </c:tx>
          <c:invertIfNegative val="0"/>
          <c:cat>
            <c:strRef>
              <c:f>(Sheet4!$D$6,Sheet4!$D$8,Sheet4!$D$10,Sheet4!$D$12,Sheet4!$D$14,Sheet4!$D$16,Sheet4!$D$18,Sheet4!$D$20,Sheet4!$D$22,Sheet4!$D$24)</c:f>
              <c:strCache>
                <c:ptCount val="10"/>
                <c:pt idx="0">
                  <c:v>Proximity to Work</c:v>
                </c:pt>
                <c:pt idx="1">
                  <c:v>Community Culture</c:v>
                </c:pt>
                <c:pt idx="2">
                  <c:v>School District (k-8)</c:v>
                </c:pt>
                <c:pt idx="3">
                  <c:v>High School Choice</c:v>
                </c:pt>
                <c:pt idx="4">
                  <c:v>Real Estate Tax Rates</c:v>
                </c:pt>
                <c:pt idx="5">
                  <c:v>Property Values</c:v>
                </c:pt>
                <c:pt idx="6">
                  <c:v>Environment/Nature</c:v>
                </c:pt>
                <c:pt idx="7">
                  <c:v>Motorized Networks</c:v>
                </c:pt>
                <c:pt idx="8">
                  <c:v>Hike/Bike Networks</c:v>
                </c:pt>
                <c:pt idx="9">
                  <c:v>Access to Broadband</c:v>
                </c:pt>
              </c:strCache>
            </c:strRef>
          </c:cat>
          <c:val>
            <c:numRef>
              <c:f>(Sheet4!$G$6,Sheet4!$G$8,Sheet4!$G$10,Sheet4!$G$12,Sheet4!$G$14,Sheet4!$G$16,Sheet4!$G$18,Sheet4!$G$20,Sheet4!$G$22,Sheet4!$G$24)</c:f>
              <c:numCache>
                <c:formatCode>0.00%</c:formatCode>
                <c:ptCount val="10"/>
                <c:pt idx="0">
                  <c:v>0.15579999999999999</c:v>
                </c:pt>
                <c:pt idx="1">
                  <c:v>0.10390000000000001</c:v>
                </c:pt>
                <c:pt idx="2">
                  <c:v>9.0899999999999995E-2</c:v>
                </c:pt>
                <c:pt idx="3">
                  <c:v>9.0899999999999995E-2</c:v>
                </c:pt>
                <c:pt idx="4">
                  <c:v>0.04</c:v>
                </c:pt>
                <c:pt idx="5">
                  <c:v>0</c:v>
                </c:pt>
                <c:pt idx="6">
                  <c:v>0.04</c:v>
                </c:pt>
                <c:pt idx="7">
                  <c:v>0.1948</c:v>
                </c:pt>
                <c:pt idx="8">
                  <c:v>0.12989999999999999</c:v>
                </c:pt>
                <c:pt idx="9">
                  <c:v>2.63E-2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47-4D77-8BB0-260B68F64B13}"/>
            </c:ext>
          </c:extLst>
        </c:ser>
        <c:ser>
          <c:idx val="3"/>
          <c:order val="3"/>
          <c:tx>
            <c:strRef>
              <c:f>Sheet4!$H$5</c:f>
              <c:strCache>
                <c:ptCount val="1"/>
                <c:pt idx="0">
                  <c:v>N/A OR I DON'T USE THIS ASSET OR RESOURCE</c:v>
                </c:pt>
              </c:strCache>
            </c:strRef>
          </c:tx>
          <c:invertIfNegative val="0"/>
          <c:cat>
            <c:strRef>
              <c:f>(Sheet4!$D$6,Sheet4!$D$8,Sheet4!$D$10,Sheet4!$D$12,Sheet4!$D$14,Sheet4!$D$16,Sheet4!$D$18,Sheet4!$D$20,Sheet4!$D$22,Sheet4!$D$24)</c:f>
              <c:strCache>
                <c:ptCount val="10"/>
                <c:pt idx="0">
                  <c:v>Proximity to Work</c:v>
                </c:pt>
                <c:pt idx="1">
                  <c:v>Community Culture</c:v>
                </c:pt>
                <c:pt idx="2">
                  <c:v>School District (k-8)</c:v>
                </c:pt>
                <c:pt idx="3">
                  <c:v>High School Choice</c:v>
                </c:pt>
                <c:pt idx="4">
                  <c:v>Real Estate Tax Rates</c:v>
                </c:pt>
                <c:pt idx="5">
                  <c:v>Property Values</c:v>
                </c:pt>
                <c:pt idx="6">
                  <c:v>Environment/Nature</c:v>
                </c:pt>
                <c:pt idx="7">
                  <c:v>Motorized Networks</c:v>
                </c:pt>
                <c:pt idx="8">
                  <c:v>Hike/Bike Networks</c:v>
                </c:pt>
                <c:pt idx="9">
                  <c:v>Access to Broadband</c:v>
                </c:pt>
              </c:strCache>
            </c:strRef>
          </c:cat>
          <c:val>
            <c:numRef>
              <c:f>(Sheet4!$H$6,Sheet4!$H$8,Sheet4!$H$10,Sheet4!$H$12,Sheet4!$H$14,Sheet4!$H$16,Sheet4!$H$18,Sheet4!$H$20,Sheet4!$H$22,Sheet4!$H$24)</c:f>
              <c:numCache>
                <c:formatCode>0.00%</c:formatCode>
                <c:ptCount val="10"/>
                <c:pt idx="0">
                  <c:v>0.1948</c:v>
                </c:pt>
                <c:pt idx="1">
                  <c:v>9.0899999999999995E-2</c:v>
                </c:pt>
                <c:pt idx="2">
                  <c:v>0.32469999999999999</c:v>
                </c:pt>
                <c:pt idx="3">
                  <c:v>0.25969999999999999</c:v>
                </c:pt>
                <c:pt idx="4">
                  <c:v>0.04</c:v>
                </c:pt>
                <c:pt idx="5">
                  <c:v>3.95E-2</c:v>
                </c:pt>
                <c:pt idx="6">
                  <c:v>2.6700000000000002E-2</c:v>
                </c:pt>
                <c:pt idx="7">
                  <c:v>0.18179999999999999</c:v>
                </c:pt>
                <c:pt idx="8">
                  <c:v>7.7899999999999997E-2</c:v>
                </c:pt>
                <c:pt idx="9">
                  <c:v>6.5799999999999997E-2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47-4D77-8BB0-260B68F64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123328"/>
        <c:axId val="218818048"/>
      </c:barChart>
      <c:catAx>
        <c:axId val="19912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en-US"/>
          </a:p>
        </c:txPr>
        <c:crossAx val="218818048"/>
        <c:crosses val="autoZero"/>
        <c:auto val="1"/>
        <c:lblAlgn val="ctr"/>
        <c:lblOffset val="100"/>
        <c:noMultiLvlLbl val="0"/>
      </c:catAx>
      <c:valAx>
        <c:axId val="2188180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en-US"/>
          </a:p>
        </c:txPr>
        <c:crossAx val="1991233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en-US" sz="1000">
                <a:latin typeface="+mj-lt"/>
              </a:rPr>
              <a:t>Clifton Land Use Development Preferences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8989300816564598"/>
          <c:y val="0.28264062449409399"/>
          <c:w val="0.56955143627879801"/>
          <c:h val="0.6664488605264660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Sheet5!$C$4</c:f>
              <c:strCache>
                <c:ptCount val="1"/>
                <c:pt idx="0">
                  <c:v>REALLY LIKE THIS</c:v>
                </c:pt>
              </c:strCache>
            </c:strRef>
          </c:tx>
          <c:invertIfNegative val="0"/>
          <c:cat>
            <c:strRef>
              <c:f>(Sheet5!$B$5,Sheet5!$B$7,Sheet5!$B$9,Sheet5!$B$11,Sheet5!$B$13,Sheet5!$B$15,Sheet5!$B$17,Sheet5!$B$19,Sheet5!$B$21,Sheet5!$B$23,Sheet5!$B$25,Sheet5!$B$27,Sheet5!$B$29)</c:f>
              <c:strCache>
                <c:ptCount val="13"/>
                <c:pt idx="0">
                  <c:v>Develop Saw Mill Site</c:v>
                </c:pt>
                <c:pt idx="1">
                  <c:v>Encourage Industrial Wind Energy</c:v>
                </c:pt>
                <c:pt idx="2">
                  <c:v>Encourage Solar Industrial Solar</c:v>
                </c:pt>
                <c:pt idx="3">
                  <c:v>Encourage Biofuel Energy</c:v>
                </c:pt>
                <c:pt idx="4">
                  <c:v>Encourage Rte 9 Corridor Development</c:v>
                </c:pt>
                <c:pt idx="5">
                  <c:v>Encourage Presevation (Park Like)</c:v>
                </c:pt>
                <c:pt idx="6">
                  <c:v>Encourage Conservation (Working Forest)</c:v>
                </c:pt>
                <c:pt idx="7">
                  <c:v>Continue to Protect Scenic Places</c:v>
                </c:pt>
                <c:pt idx="8">
                  <c:v>Encourage subdivisions</c:v>
                </c:pt>
                <c:pt idx="9">
                  <c:v>Encourage rental multi-unit housing</c:v>
                </c:pt>
                <c:pt idx="10">
                  <c:v>Encourage Condominiums</c:v>
                </c:pt>
                <c:pt idx="11">
                  <c:v>Encourage Commercial Strip Development</c:v>
                </c:pt>
                <c:pt idx="12">
                  <c:v>Manage Pond Water Levels</c:v>
                </c:pt>
              </c:strCache>
            </c:strRef>
          </c:cat>
          <c:val>
            <c:numRef>
              <c:f>(Sheet5!$C$5,Sheet5!$C$7,Sheet5!$C$9,Sheet5!$C$11,Sheet5!$C$13,Sheet5!$C$15,Sheet5!$C$17,Sheet5!$C$19,Sheet5!$C$21,Sheet5!$C$23,Sheet5!$C$25,Sheet5!$C$27,Sheet5!$C$29)</c:f>
              <c:numCache>
                <c:formatCode>0.00%</c:formatCode>
                <c:ptCount val="13"/>
                <c:pt idx="0">
                  <c:v>0.53249999999999997</c:v>
                </c:pt>
                <c:pt idx="1">
                  <c:v>0.2727</c:v>
                </c:pt>
                <c:pt idx="2">
                  <c:v>0.41560000000000002</c:v>
                </c:pt>
                <c:pt idx="3">
                  <c:v>0.18179999999999999</c:v>
                </c:pt>
                <c:pt idx="4">
                  <c:v>0.32890000000000003</c:v>
                </c:pt>
                <c:pt idx="5">
                  <c:v>0.13159999999999999</c:v>
                </c:pt>
                <c:pt idx="6">
                  <c:v>0.27629999999999999</c:v>
                </c:pt>
                <c:pt idx="7">
                  <c:v>0.62339999999999995</c:v>
                </c:pt>
                <c:pt idx="8">
                  <c:v>0.1467</c:v>
                </c:pt>
                <c:pt idx="9">
                  <c:v>0.1333</c:v>
                </c:pt>
                <c:pt idx="10">
                  <c:v>0.1447</c:v>
                </c:pt>
                <c:pt idx="11">
                  <c:v>0.1842</c:v>
                </c:pt>
                <c:pt idx="12">
                  <c:v>0.38159999999999999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6-49F1-ADED-AD38BB86EDD4}"/>
            </c:ext>
          </c:extLst>
        </c:ser>
        <c:ser>
          <c:idx val="1"/>
          <c:order val="1"/>
          <c:tx>
            <c:strRef>
              <c:f>Sheet5!$D$4</c:f>
              <c:strCache>
                <c:ptCount val="1"/>
                <c:pt idx="0">
                  <c:v>FAVORABLE</c:v>
                </c:pt>
              </c:strCache>
            </c:strRef>
          </c:tx>
          <c:invertIfNegative val="0"/>
          <c:cat>
            <c:strRef>
              <c:f>(Sheet5!$B$5,Sheet5!$B$7,Sheet5!$B$9,Sheet5!$B$11,Sheet5!$B$13,Sheet5!$B$15,Sheet5!$B$17,Sheet5!$B$19,Sheet5!$B$21,Sheet5!$B$23,Sheet5!$B$25,Sheet5!$B$27,Sheet5!$B$29)</c:f>
              <c:strCache>
                <c:ptCount val="13"/>
                <c:pt idx="0">
                  <c:v>Develop Saw Mill Site</c:v>
                </c:pt>
                <c:pt idx="1">
                  <c:v>Encourage Industrial Wind Energy</c:v>
                </c:pt>
                <c:pt idx="2">
                  <c:v>Encourage Solar Industrial Solar</c:v>
                </c:pt>
                <c:pt idx="3">
                  <c:v>Encourage Biofuel Energy</c:v>
                </c:pt>
                <c:pt idx="4">
                  <c:v>Encourage Rte 9 Corridor Development</c:v>
                </c:pt>
                <c:pt idx="5">
                  <c:v>Encourage Presevation (Park Like)</c:v>
                </c:pt>
                <c:pt idx="6">
                  <c:v>Encourage Conservation (Working Forest)</c:v>
                </c:pt>
                <c:pt idx="7">
                  <c:v>Continue to Protect Scenic Places</c:v>
                </c:pt>
                <c:pt idx="8">
                  <c:v>Encourage subdivisions</c:v>
                </c:pt>
                <c:pt idx="9">
                  <c:v>Encourage rental multi-unit housing</c:v>
                </c:pt>
                <c:pt idx="10">
                  <c:v>Encourage Condominiums</c:v>
                </c:pt>
                <c:pt idx="11">
                  <c:v>Encourage Commercial Strip Development</c:v>
                </c:pt>
                <c:pt idx="12">
                  <c:v>Manage Pond Water Levels</c:v>
                </c:pt>
              </c:strCache>
            </c:strRef>
          </c:cat>
          <c:val>
            <c:numRef>
              <c:f>(Sheet5!$D$5,Sheet5!$D$7,Sheet5!$D$9,Sheet5!$D$11,Sheet5!$D$13,Sheet5!$D$15,Sheet5!$D$17,Sheet5!$D$19,Sheet5!$D$21,Sheet5!$D$23,Sheet5!$D$25,Sheet5!$D$27,Sheet5!$D$29)</c:f>
              <c:numCache>
                <c:formatCode>0.00%</c:formatCode>
                <c:ptCount val="13"/>
                <c:pt idx="0">
                  <c:v>0.37659999999999999</c:v>
                </c:pt>
                <c:pt idx="1">
                  <c:v>0.29870000000000002</c:v>
                </c:pt>
                <c:pt idx="2">
                  <c:v>0.31169999999999998</c:v>
                </c:pt>
                <c:pt idx="3">
                  <c:v>0.36359999999999998</c:v>
                </c:pt>
                <c:pt idx="4">
                  <c:v>0.3947</c:v>
                </c:pt>
                <c:pt idx="5">
                  <c:v>0.3553</c:v>
                </c:pt>
                <c:pt idx="6">
                  <c:v>0.44740000000000002</c:v>
                </c:pt>
                <c:pt idx="7">
                  <c:v>0.24679999999999999</c:v>
                </c:pt>
                <c:pt idx="8">
                  <c:v>0.21329999999999999</c:v>
                </c:pt>
                <c:pt idx="9">
                  <c:v>0.25330000000000003</c:v>
                </c:pt>
                <c:pt idx="10">
                  <c:v>0.1711</c:v>
                </c:pt>
                <c:pt idx="11">
                  <c:v>0.21049999999999999</c:v>
                </c:pt>
                <c:pt idx="12">
                  <c:v>0.30259999999999998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06-49F1-ADED-AD38BB86EDD4}"/>
            </c:ext>
          </c:extLst>
        </c:ser>
        <c:ser>
          <c:idx val="2"/>
          <c:order val="2"/>
          <c:tx>
            <c:strRef>
              <c:f>Sheet5!$E$4</c:f>
              <c:strCache>
                <c:ptCount val="1"/>
                <c:pt idx="0">
                  <c:v>NO OPINION</c:v>
                </c:pt>
              </c:strCache>
            </c:strRef>
          </c:tx>
          <c:invertIfNegative val="0"/>
          <c:cat>
            <c:strRef>
              <c:f>(Sheet5!$B$5,Sheet5!$B$7,Sheet5!$B$9,Sheet5!$B$11,Sheet5!$B$13,Sheet5!$B$15,Sheet5!$B$17,Sheet5!$B$19,Sheet5!$B$21,Sheet5!$B$23,Sheet5!$B$25,Sheet5!$B$27,Sheet5!$B$29)</c:f>
              <c:strCache>
                <c:ptCount val="13"/>
                <c:pt idx="0">
                  <c:v>Develop Saw Mill Site</c:v>
                </c:pt>
                <c:pt idx="1">
                  <c:v>Encourage Industrial Wind Energy</c:v>
                </c:pt>
                <c:pt idx="2">
                  <c:v>Encourage Solar Industrial Solar</c:v>
                </c:pt>
                <c:pt idx="3">
                  <c:v>Encourage Biofuel Energy</c:v>
                </c:pt>
                <c:pt idx="4">
                  <c:v>Encourage Rte 9 Corridor Development</c:v>
                </c:pt>
                <c:pt idx="5">
                  <c:v>Encourage Presevation (Park Like)</c:v>
                </c:pt>
                <c:pt idx="6">
                  <c:v>Encourage Conservation (Working Forest)</c:v>
                </c:pt>
                <c:pt idx="7">
                  <c:v>Continue to Protect Scenic Places</c:v>
                </c:pt>
                <c:pt idx="8">
                  <c:v>Encourage subdivisions</c:v>
                </c:pt>
                <c:pt idx="9">
                  <c:v>Encourage rental multi-unit housing</c:v>
                </c:pt>
                <c:pt idx="10">
                  <c:v>Encourage Condominiums</c:v>
                </c:pt>
                <c:pt idx="11">
                  <c:v>Encourage Commercial Strip Development</c:v>
                </c:pt>
                <c:pt idx="12">
                  <c:v>Manage Pond Water Levels</c:v>
                </c:pt>
              </c:strCache>
            </c:strRef>
          </c:cat>
          <c:val>
            <c:numRef>
              <c:f>(Sheet5!$E$5,Sheet5!$E$7,Sheet5!$E$9,Sheet5!$E$11,Sheet5!$E$13,Sheet5!$E$15,Sheet5!$E$17,Sheet5!$E$19,Sheet5!$E$21,Sheet5!$E$23,Sheet5!$E$25,Sheet5!$E$27,Sheet5!$E$29)</c:f>
              <c:numCache>
                <c:formatCode>0.00%</c:formatCode>
                <c:ptCount val="13"/>
                <c:pt idx="0">
                  <c:v>5.1900000000000002E-2</c:v>
                </c:pt>
                <c:pt idx="1">
                  <c:v>0.15579999999999999</c:v>
                </c:pt>
                <c:pt idx="2">
                  <c:v>0.16880000000000001</c:v>
                </c:pt>
                <c:pt idx="3">
                  <c:v>0.24679999999999999</c:v>
                </c:pt>
                <c:pt idx="4">
                  <c:v>0.15790000000000001</c:v>
                </c:pt>
                <c:pt idx="5">
                  <c:v>0.23680000000000001</c:v>
                </c:pt>
                <c:pt idx="6">
                  <c:v>0.22370000000000001</c:v>
                </c:pt>
                <c:pt idx="7">
                  <c:v>7.7899999999999997E-2</c:v>
                </c:pt>
                <c:pt idx="8">
                  <c:v>0.33329999999999999</c:v>
                </c:pt>
                <c:pt idx="9">
                  <c:v>0.22670000000000001</c:v>
                </c:pt>
                <c:pt idx="10">
                  <c:v>0.34210000000000002</c:v>
                </c:pt>
                <c:pt idx="11">
                  <c:v>0.13159999999999999</c:v>
                </c:pt>
                <c:pt idx="12">
                  <c:v>0.26319999999999999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06-49F1-ADED-AD38BB86EDD4}"/>
            </c:ext>
          </c:extLst>
        </c:ser>
        <c:ser>
          <c:idx val="3"/>
          <c:order val="3"/>
          <c:tx>
            <c:strRef>
              <c:f>Sheet5!$F$4</c:f>
              <c:strCache>
                <c:ptCount val="1"/>
                <c:pt idx="0">
                  <c:v>UNFAVORABLE</c:v>
                </c:pt>
              </c:strCache>
            </c:strRef>
          </c:tx>
          <c:invertIfNegative val="0"/>
          <c:cat>
            <c:strRef>
              <c:f>(Sheet5!$B$5,Sheet5!$B$7,Sheet5!$B$9,Sheet5!$B$11,Sheet5!$B$13,Sheet5!$B$15,Sheet5!$B$17,Sheet5!$B$19,Sheet5!$B$21,Sheet5!$B$23,Sheet5!$B$25,Sheet5!$B$27,Sheet5!$B$29)</c:f>
              <c:strCache>
                <c:ptCount val="13"/>
                <c:pt idx="0">
                  <c:v>Develop Saw Mill Site</c:v>
                </c:pt>
                <c:pt idx="1">
                  <c:v>Encourage Industrial Wind Energy</c:v>
                </c:pt>
                <c:pt idx="2">
                  <c:v>Encourage Solar Industrial Solar</c:v>
                </c:pt>
                <c:pt idx="3">
                  <c:v>Encourage Biofuel Energy</c:v>
                </c:pt>
                <c:pt idx="4">
                  <c:v>Encourage Rte 9 Corridor Development</c:v>
                </c:pt>
                <c:pt idx="5">
                  <c:v>Encourage Presevation (Park Like)</c:v>
                </c:pt>
                <c:pt idx="6">
                  <c:v>Encourage Conservation (Working Forest)</c:v>
                </c:pt>
                <c:pt idx="7">
                  <c:v>Continue to Protect Scenic Places</c:v>
                </c:pt>
                <c:pt idx="8">
                  <c:v>Encourage subdivisions</c:v>
                </c:pt>
                <c:pt idx="9">
                  <c:v>Encourage rental multi-unit housing</c:v>
                </c:pt>
                <c:pt idx="10">
                  <c:v>Encourage Condominiums</c:v>
                </c:pt>
                <c:pt idx="11">
                  <c:v>Encourage Commercial Strip Development</c:v>
                </c:pt>
                <c:pt idx="12">
                  <c:v>Manage Pond Water Levels</c:v>
                </c:pt>
              </c:strCache>
            </c:strRef>
          </c:cat>
          <c:val>
            <c:numRef>
              <c:f>(Sheet5!$F$5,Sheet5!$F$7,Sheet5!$F$9,Sheet5!$F$11,Sheet5!$F$13,Sheet5!$F$15,Sheet5!$F$17,Sheet5!$F$19,Sheet5!$F$21,Sheet5!$F$23,Sheet5!$F$25,Sheet5!$F$27,Sheet5!$F$29)</c:f>
              <c:numCache>
                <c:formatCode>0.00%</c:formatCode>
                <c:ptCount val="13"/>
                <c:pt idx="0">
                  <c:v>2.5999999999999999E-2</c:v>
                </c:pt>
                <c:pt idx="1">
                  <c:v>0.1169</c:v>
                </c:pt>
                <c:pt idx="2">
                  <c:v>0</c:v>
                </c:pt>
                <c:pt idx="3">
                  <c:v>0.15579999999999999</c:v>
                </c:pt>
                <c:pt idx="4">
                  <c:v>7.8899999999999998E-2</c:v>
                </c:pt>
                <c:pt idx="5">
                  <c:v>0.15790000000000001</c:v>
                </c:pt>
                <c:pt idx="6">
                  <c:v>1.32E-2</c:v>
                </c:pt>
                <c:pt idx="7">
                  <c:v>2.5999999999999999E-2</c:v>
                </c:pt>
                <c:pt idx="8">
                  <c:v>0.17330000000000001</c:v>
                </c:pt>
                <c:pt idx="9">
                  <c:v>0.1867</c:v>
                </c:pt>
                <c:pt idx="10">
                  <c:v>0.1842</c:v>
                </c:pt>
                <c:pt idx="11">
                  <c:v>0.25</c:v>
                </c:pt>
                <c:pt idx="12">
                  <c:v>1.32E-2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06-49F1-ADED-AD38BB86EDD4}"/>
            </c:ext>
          </c:extLst>
        </c:ser>
        <c:ser>
          <c:idx val="4"/>
          <c:order val="4"/>
          <c:tx>
            <c:strRef>
              <c:f>Sheet5!$G$4</c:f>
              <c:strCache>
                <c:ptCount val="1"/>
                <c:pt idx="0">
                  <c:v>REALLY DON'T LIKE THIS</c:v>
                </c:pt>
              </c:strCache>
            </c:strRef>
          </c:tx>
          <c:invertIfNegative val="0"/>
          <c:cat>
            <c:strRef>
              <c:f>(Sheet5!$B$5,Sheet5!$B$7,Sheet5!$B$9,Sheet5!$B$11,Sheet5!$B$13,Sheet5!$B$15,Sheet5!$B$17,Sheet5!$B$19,Sheet5!$B$21,Sheet5!$B$23,Sheet5!$B$25,Sheet5!$B$27,Sheet5!$B$29)</c:f>
              <c:strCache>
                <c:ptCount val="13"/>
                <c:pt idx="0">
                  <c:v>Develop Saw Mill Site</c:v>
                </c:pt>
                <c:pt idx="1">
                  <c:v>Encourage Industrial Wind Energy</c:v>
                </c:pt>
                <c:pt idx="2">
                  <c:v>Encourage Solar Industrial Solar</c:v>
                </c:pt>
                <c:pt idx="3">
                  <c:v>Encourage Biofuel Energy</c:v>
                </c:pt>
                <c:pt idx="4">
                  <c:v>Encourage Rte 9 Corridor Development</c:v>
                </c:pt>
                <c:pt idx="5">
                  <c:v>Encourage Presevation (Park Like)</c:v>
                </c:pt>
                <c:pt idx="6">
                  <c:v>Encourage Conservation (Working Forest)</c:v>
                </c:pt>
                <c:pt idx="7">
                  <c:v>Continue to Protect Scenic Places</c:v>
                </c:pt>
                <c:pt idx="8">
                  <c:v>Encourage subdivisions</c:v>
                </c:pt>
                <c:pt idx="9">
                  <c:v>Encourage rental multi-unit housing</c:v>
                </c:pt>
                <c:pt idx="10">
                  <c:v>Encourage Condominiums</c:v>
                </c:pt>
                <c:pt idx="11">
                  <c:v>Encourage Commercial Strip Development</c:v>
                </c:pt>
                <c:pt idx="12">
                  <c:v>Manage Pond Water Levels</c:v>
                </c:pt>
              </c:strCache>
            </c:strRef>
          </c:cat>
          <c:val>
            <c:numRef>
              <c:f>(Sheet5!$G$5,Sheet5!$G$7,Sheet5!$G$9,Sheet5!$G$11,Sheet5!$G$13,Sheet5!$G$15,Sheet5!$G$17,Sheet5!$G$19,Sheet5!$G$21,Sheet5!$G$23,Sheet5!$G$25,Sheet5!$G$27,Sheet5!$G$29)</c:f>
              <c:numCache>
                <c:formatCode>0.00%</c:formatCode>
                <c:ptCount val="13"/>
                <c:pt idx="0">
                  <c:v>1.2999999999999999E-2</c:v>
                </c:pt>
                <c:pt idx="1">
                  <c:v>0.15579999999999999</c:v>
                </c:pt>
                <c:pt idx="2">
                  <c:v>0.10390000000000001</c:v>
                </c:pt>
                <c:pt idx="3">
                  <c:v>5.1900000000000002E-2</c:v>
                </c:pt>
                <c:pt idx="4">
                  <c:v>3.95E-2</c:v>
                </c:pt>
                <c:pt idx="5">
                  <c:v>0.11840000000000001</c:v>
                </c:pt>
                <c:pt idx="6">
                  <c:v>3.95E-2</c:v>
                </c:pt>
                <c:pt idx="7">
                  <c:v>2.5999999999999999E-2</c:v>
                </c:pt>
                <c:pt idx="8">
                  <c:v>0.1333</c:v>
                </c:pt>
                <c:pt idx="9">
                  <c:v>0.2</c:v>
                </c:pt>
                <c:pt idx="10">
                  <c:v>0.15790000000000001</c:v>
                </c:pt>
                <c:pt idx="11">
                  <c:v>0.22370000000000001</c:v>
                </c:pt>
                <c:pt idx="12">
                  <c:v>3.95E-2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06-49F1-ADED-AD38BB86E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264576"/>
        <c:axId val="134902912"/>
      </c:barChart>
      <c:catAx>
        <c:axId val="802645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+mj-lt"/>
              </a:defRPr>
            </a:pPr>
            <a:endParaRPr lang="en-US"/>
          </a:p>
        </c:txPr>
        <c:crossAx val="134902912"/>
        <c:crosses val="autoZero"/>
        <c:auto val="1"/>
        <c:lblAlgn val="ctr"/>
        <c:lblOffset val="100"/>
        <c:noMultiLvlLbl val="0"/>
      </c:catAx>
      <c:valAx>
        <c:axId val="134902912"/>
        <c:scaling>
          <c:orientation val="minMax"/>
          <c:max val="1"/>
        </c:scaling>
        <c:delete val="0"/>
        <c:axPos val="t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+mj-lt"/>
              </a:defRPr>
            </a:pPr>
            <a:endParaRPr lang="en-US"/>
          </a:p>
        </c:txPr>
        <c:crossAx val="802645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 b="1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C860-2CF2-4B5F-B95C-27F03C9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3</cp:revision>
  <dcterms:created xsi:type="dcterms:W3CDTF">2022-02-02T19:42:00Z</dcterms:created>
  <dcterms:modified xsi:type="dcterms:W3CDTF">2022-02-02T19:43:00Z</dcterms:modified>
</cp:coreProperties>
</file>